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AF" w:rsidRPr="004331A0" w:rsidRDefault="00091FAF" w:rsidP="00091FAF">
      <w:pPr>
        <w:rPr>
          <w:b/>
          <w:bCs/>
          <w:sz w:val="16"/>
          <w:lang/>
        </w:rPr>
      </w:pPr>
    </w:p>
    <w:tbl>
      <w:tblPr>
        <w:tblW w:w="0" w:type="auto"/>
        <w:tblLook w:val="01E0"/>
      </w:tblPr>
      <w:tblGrid>
        <w:gridCol w:w="2093"/>
        <w:gridCol w:w="4956"/>
      </w:tblGrid>
      <w:tr w:rsidR="00091FAF" w:rsidRPr="00091FAF" w:rsidTr="00B013E1">
        <w:trPr>
          <w:trHeight w:val="179"/>
        </w:trPr>
        <w:tc>
          <w:tcPr>
            <w:tcW w:w="2093" w:type="dxa"/>
            <w:shd w:val="clear" w:color="auto" w:fill="auto"/>
          </w:tcPr>
          <w:p w:rsidR="00091FAF" w:rsidRPr="00091FAF" w:rsidRDefault="00091FAF" w:rsidP="00091FAF">
            <w:pPr>
              <w:jc w:val="both"/>
              <w:rPr>
                <w:lang w:val="sr-Cyrl-CS"/>
              </w:rPr>
            </w:pPr>
            <w:bookmarkStart w:id="0" w:name="OLE_LINK1"/>
            <w:bookmarkStart w:id="1" w:name="OLE_LINK2"/>
            <w:r w:rsidRPr="00091FAF">
              <w:rPr>
                <w:lang w:val="sr-Cyrl-CS"/>
              </w:rPr>
              <w:t>Наручилац:</w:t>
            </w:r>
          </w:p>
        </w:tc>
        <w:tc>
          <w:tcPr>
            <w:tcW w:w="4956" w:type="dxa"/>
            <w:shd w:val="clear" w:color="auto" w:fill="auto"/>
          </w:tcPr>
          <w:p w:rsidR="00091FAF" w:rsidRPr="00091FAF" w:rsidRDefault="00091FAF" w:rsidP="00091FAF">
            <w:pPr>
              <w:jc w:val="center"/>
              <w:rPr>
                <w:lang w:val="sr-Cyrl-CS"/>
              </w:rPr>
            </w:pPr>
            <w:r w:rsidRPr="00091FAF">
              <w:rPr>
                <w:lang w:val="sr-Cyrl-CS"/>
              </w:rPr>
              <w:t>Предшколска Установа ''Радост'' Чачак</w:t>
            </w:r>
          </w:p>
        </w:tc>
      </w:tr>
      <w:tr w:rsidR="00091FAF" w:rsidRPr="00091FAF" w:rsidTr="00B013E1">
        <w:trPr>
          <w:trHeight w:val="228"/>
        </w:trPr>
        <w:tc>
          <w:tcPr>
            <w:tcW w:w="2093" w:type="dxa"/>
            <w:shd w:val="clear" w:color="auto" w:fill="auto"/>
          </w:tcPr>
          <w:p w:rsidR="00091FAF" w:rsidRPr="00091FAF" w:rsidRDefault="00091FAF" w:rsidP="00091FAF">
            <w:pPr>
              <w:jc w:val="both"/>
              <w:rPr>
                <w:lang w:val="sr-Cyrl-CS"/>
              </w:rPr>
            </w:pPr>
            <w:r w:rsidRPr="00091FAF">
              <w:rPr>
                <w:lang w:val="sr-Cyrl-CS"/>
              </w:rPr>
              <w:t>Адреса:</w:t>
            </w:r>
          </w:p>
        </w:tc>
        <w:tc>
          <w:tcPr>
            <w:tcW w:w="4956" w:type="dxa"/>
            <w:shd w:val="clear" w:color="auto" w:fill="auto"/>
          </w:tcPr>
          <w:p w:rsidR="00091FAF" w:rsidRPr="00091FAF" w:rsidRDefault="00091FAF" w:rsidP="00091FAF">
            <w:pPr>
              <w:jc w:val="center"/>
              <w:rPr>
                <w:lang w:val="sr-Cyrl-CS"/>
              </w:rPr>
            </w:pPr>
            <w:r w:rsidRPr="00091FAF">
              <w:rPr>
                <w:lang w:val="sr-Cyrl-CS"/>
              </w:rPr>
              <w:t>Надежде Петровић број 8</w:t>
            </w:r>
          </w:p>
        </w:tc>
      </w:tr>
      <w:tr w:rsidR="00091FAF" w:rsidRPr="00091FAF" w:rsidTr="00B013E1">
        <w:trPr>
          <w:trHeight w:val="228"/>
        </w:trPr>
        <w:tc>
          <w:tcPr>
            <w:tcW w:w="2093" w:type="dxa"/>
            <w:shd w:val="clear" w:color="auto" w:fill="auto"/>
          </w:tcPr>
          <w:p w:rsidR="00091FAF" w:rsidRPr="00091FAF" w:rsidRDefault="00091FAF" w:rsidP="00091FAF">
            <w:pPr>
              <w:jc w:val="both"/>
              <w:rPr>
                <w:lang w:val="sr-Cyrl-CS"/>
              </w:rPr>
            </w:pPr>
            <w:r w:rsidRPr="00091FAF">
              <w:rPr>
                <w:lang w:val="sr-Cyrl-CS"/>
              </w:rPr>
              <w:t>Место:</w:t>
            </w:r>
          </w:p>
        </w:tc>
        <w:tc>
          <w:tcPr>
            <w:tcW w:w="4956" w:type="dxa"/>
            <w:shd w:val="clear" w:color="auto" w:fill="auto"/>
          </w:tcPr>
          <w:p w:rsidR="00091FAF" w:rsidRPr="00091FAF" w:rsidRDefault="00091FAF" w:rsidP="00091FAF">
            <w:pPr>
              <w:jc w:val="center"/>
              <w:rPr>
                <w:lang w:val="sr-Cyrl-CS"/>
              </w:rPr>
            </w:pPr>
            <w:r w:rsidRPr="00091FAF">
              <w:rPr>
                <w:lang w:val="sr-Cyrl-CS"/>
              </w:rPr>
              <w:t>Чачак</w:t>
            </w:r>
          </w:p>
        </w:tc>
      </w:tr>
      <w:tr w:rsidR="00091FAF" w:rsidRPr="00091FAF" w:rsidTr="00B013E1">
        <w:trPr>
          <w:trHeight w:val="212"/>
        </w:trPr>
        <w:tc>
          <w:tcPr>
            <w:tcW w:w="2093" w:type="dxa"/>
            <w:shd w:val="clear" w:color="auto" w:fill="auto"/>
          </w:tcPr>
          <w:p w:rsidR="00091FAF" w:rsidRPr="00091FAF" w:rsidRDefault="00091FAF" w:rsidP="00B013E1">
            <w:pPr>
              <w:jc w:val="both"/>
              <w:rPr>
                <w:lang w:val="sr-Cyrl-CS"/>
              </w:rPr>
            </w:pPr>
            <w:r w:rsidRPr="00091FAF">
              <w:rPr>
                <w:lang w:val="sr-Cyrl-CS"/>
              </w:rPr>
              <w:t xml:space="preserve">Деловодни </w:t>
            </w:r>
            <w:r w:rsidR="00B013E1">
              <w:rPr>
                <w:lang w:val="sr-Cyrl-CS"/>
              </w:rPr>
              <w:t>број:</w:t>
            </w:r>
          </w:p>
        </w:tc>
        <w:tc>
          <w:tcPr>
            <w:tcW w:w="4956" w:type="dxa"/>
            <w:shd w:val="clear" w:color="auto" w:fill="auto"/>
          </w:tcPr>
          <w:p w:rsidR="00091FAF" w:rsidRPr="00F84E99" w:rsidRDefault="00AF34A3" w:rsidP="00F84E99">
            <w:pPr>
              <w:jc w:val="center"/>
              <w:rPr>
                <w:b/>
                <w:lang/>
              </w:rPr>
            </w:pPr>
            <w:r w:rsidRPr="00392BC7">
              <w:rPr>
                <w:b/>
                <w:lang/>
              </w:rPr>
              <w:t>1</w:t>
            </w:r>
            <w:r w:rsidR="00091FAF" w:rsidRPr="00392BC7">
              <w:rPr>
                <w:b/>
                <w:lang/>
              </w:rPr>
              <w:t>/201</w:t>
            </w:r>
            <w:r w:rsidR="00F84E99" w:rsidRPr="00392BC7">
              <w:rPr>
                <w:b/>
                <w:lang/>
              </w:rPr>
              <w:t>8</w:t>
            </w:r>
            <w:r w:rsidR="00091FAF" w:rsidRPr="00392BC7">
              <w:rPr>
                <w:b/>
                <w:lang/>
              </w:rPr>
              <w:t>-</w:t>
            </w:r>
            <w:r w:rsidR="00392BC7" w:rsidRPr="00392BC7">
              <w:rPr>
                <w:b/>
                <w:lang/>
              </w:rPr>
              <w:t>4</w:t>
            </w:r>
            <w:r w:rsidR="009832C0" w:rsidRPr="00392BC7">
              <w:rPr>
                <w:b/>
                <w:lang/>
              </w:rPr>
              <w:t xml:space="preserve"> </w:t>
            </w:r>
            <w:r w:rsidR="00F84E99" w:rsidRPr="00392BC7">
              <w:rPr>
                <w:b/>
                <w:lang/>
              </w:rPr>
              <w:t>ОП</w:t>
            </w:r>
          </w:p>
        </w:tc>
      </w:tr>
      <w:tr w:rsidR="00091FAF" w:rsidRPr="00091FAF" w:rsidTr="00B013E1">
        <w:trPr>
          <w:trHeight w:val="228"/>
        </w:trPr>
        <w:tc>
          <w:tcPr>
            <w:tcW w:w="2093" w:type="dxa"/>
            <w:shd w:val="clear" w:color="auto" w:fill="auto"/>
          </w:tcPr>
          <w:p w:rsidR="00091FAF" w:rsidRPr="00091FAF" w:rsidRDefault="00091FAF" w:rsidP="00091FAF">
            <w:pPr>
              <w:jc w:val="both"/>
              <w:rPr>
                <w:lang w:val="sr-Cyrl-CS"/>
              </w:rPr>
            </w:pPr>
            <w:r w:rsidRPr="00091FAF">
              <w:rPr>
                <w:lang w:val="sr-Cyrl-CS"/>
              </w:rPr>
              <w:t>Датум:</w:t>
            </w:r>
          </w:p>
        </w:tc>
        <w:tc>
          <w:tcPr>
            <w:tcW w:w="4956" w:type="dxa"/>
            <w:shd w:val="clear" w:color="auto" w:fill="auto"/>
          </w:tcPr>
          <w:p w:rsidR="00091FAF" w:rsidRPr="00091FAF" w:rsidRDefault="00091FAF" w:rsidP="00F84E99">
            <w:pPr>
              <w:tabs>
                <w:tab w:val="center" w:pos="2535"/>
              </w:tabs>
              <w:rPr>
                <w:b/>
                <w:lang w:val="sr-Cyrl-CS"/>
              </w:rPr>
            </w:pPr>
            <w:r w:rsidRPr="00091FAF">
              <w:rPr>
                <w:b/>
                <w:lang w:val="sr-Cyrl-CS"/>
              </w:rPr>
              <w:tab/>
            </w:r>
            <w:r w:rsidR="00392BC7">
              <w:rPr>
                <w:b/>
                <w:lang/>
              </w:rPr>
              <w:t>0</w:t>
            </w:r>
            <w:r w:rsidR="00392BC7">
              <w:rPr>
                <w:b/>
                <w:lang/>
              </w:rPr>
              <w:t>8</w:t>
            </w:r>
            <w:r w:rsidRPr="00091FAF">
              <w:rPr>
                <w:b/>
                <w:lang w:val="sr-Latn-CS"/>
              </w:rPr>
              <w:t>.</w:t>
            </w:r>
            <w:r w:rsidR="00B013E1">
              <w:rPr>
                <w:b/>
                <w:lang/>
              </w:rPr>
              <w:t>01</w:t>
            </w:r>
            <w:r w:rsidRPr="00091FAF">
              <w:rPr>
                <w:b/>
                <w:lang w:val="sr-Latn-CS"/>
              </w:rPr>
              <w:t>.201</w:t>
            </w:r>
            <w:r w:rsidR="00F84E99">
              <w:rPr>
                <w:b/>
                <w:lang w:val="sr-Latn-CS"/>
              </w:rPr>
              <w:t>8</w:t>
            </w:r>
            <w:r w:rsidRPr="00091FAF">
              <w:rPr>
                <w:b/>
                <w:lang w:val="sr-Latn-CS"/>
              </w:rPr>
              <w:t>.</w:t>
            </w:r>
            <w:r w:rsidRPr="00091FAF">
              <w:rPr>
                <w:lang w:val="sr-Latn-CS"/>
              </w:rPr>
              <w:t>.</w:t>
            </w:r>
            <w:r w:rsidRPr="00091FAF">
              <w:rPr>
                <w:b/>
                <w:lang w:val="sr-Cyrl-CS"/>
              </w:rPr>
              <w:t xml:space="preserve"> године</w:t>
            </w:r>
          </w:p>
        </w:tc>
      </w:tr>
    </w:tbl>
    <w:bookmarkEnd w:id="0"/>
    <w:bookmarkEnd w:id="1"/>
    <w:p w:rsidR="00091FAF" w:rsidRDefault="00091FAF" w:rsidP="00F84E99">
      <w:pPr>
        <w:ind w:right="-360"/>
        <w:jc w:val="center"/>
        <w:rPr>
          <w:lang w:val="sr-Cyrl-CS"/>
        </w:rPr>
      </w:pPr>
      <w:r>
        <w:rPr>
          <w:lang w:val="sr-Cyrl-CS"/>
        </w:rPr>
        <w:t>На основу члана</w:t>
      </w:r>
      <w:r>
        <w:rPr>
          <w:lang w:val="sr-Latn-CS"/>
        </w:rPr>
        <w:t xml:space="preserve"> 63. Закона о јавни набавкама </w:t>
      </w:r>
      <w:r>
        <w:rPr>
          <w:lang w:val="sr-Cyrl-CS"/>
        </w:rPr>
        <w:t>( ''Сл. Гл. РС'', број 124/12 и 14/15</w:t>
      </w:r>
      <w:r>
        <w:rPr>
          <w:lang w:val="sr-Latn-CS"/>
        </w:rPr>
        <w:t>,68/15</w:t>
      </w:r>
      <w:r>
        <w:rPr>
          <w:lang w:val="sr-Cyrl-CS"/>
        </w:rPr>
        <w:t xml:space="preserve"> )</w:t>
      </w:r>
    </w:p>
    <w:p w:rsidR="00F84E99" w:rsidRDefault="00091FAF" w:rsidP="00F84E99">
      <w:pPr>
        <w:ind w:right="-360"/>
        <w:jc w:val="center"/>
        <w:rPr>
          <w:b/>
          <w:lang/>
        </w:rPr>
      </w:pPr>
      <w:r>
        <w:rPr>
          <w:lang w:val="sr-Cyrl-CS"/>
        </w:rPr>
        <w:t xml:space="preserve">Комисија за јавну набавку у </w:t>
      </w:r>
      <w:r w:rsidR="00F84E99">
        <w:rPr>
          <w:lang/>
        </w:rPr>
        <w:t xml:space="preserve">отвореном </w:t>
      </w:r>
      <w:r>
        <w:rPr>
          <w:lang w:val="sr-Cyrl-CS"/>
        </w:rPr>
        <w:t>поступку јавне набавке</w:t>
      </w:r>
      <w:r>
        <w:rPr>
          <w:lang w:val="sr-Latn-CS"/>
        </w:rPr>
        <w:t xml:space="preserve"> </w:t>
      </w:r>
      <w:r w:rsidR="00B013E1">
        <w:rPr>
          <w:b/>
          <w:lang/>
        </w:rPr>
        <w:t>добара</w:t>
      </w:r>
    </w:p>
    <w:p w:rsidR="00091FAF" w:rsidRPr="00F84E99" w:rsidRDefault="00F84E99" w:rsidP="00F84E99">
      <w:pPr>
        <w:ind w:right="-360"/>
        <w:jc w:val="center"/>
        <w:rPr>
          <w:lang/>
        </w:rPr>
      </w:pPr>
      <w:r>
        <w:rPr>
          <w:lang w:val="sr-Cyrl-CS"/>
        </w:rPr>
        <w:t>–</w:t>
      </w:r>
      <w:r>
        <w:rPr>
          <w:lang/>
        </w:rPr>
        <w:t xml:space="preserve">НАМИРНИЦЕ ЗА ПРИПРЕМАЊЕ ХРАНЕ-ЧАЧАК </w:t>
      </w:r>
      <w:r w:rsidR="00091FAF">
        <w:rPr>
          <w:lang w:val="sr-Cyrl-CS"/>
        </w:rPr>
        <w:t xml:space="preserve">редни број јавне набавке </w:t>
      </w:r>
      <w:r w:rsidR="00091FAF">
        <w:rPr>
          <w:b/>
          <w:lang w:val="sr-Cyrl-CS"/>
        </w:rPr>
        <w:t>1/201</w:t>
      </w:r>
      <w:r>
        <w:rPr>
          <w:b/>
          <w:lang/>
        </w:rPr>
        <w:t>8</w:t>
      </w:r>
      <w:r w:rsidR="00091FAF">
        <w:rPr>
          <w:b/>
          <w:lang w:val="sr-Cyrl-CS"/>
        </w:rPr>
        <w:t xml:space="preserve"> </w:t>
      </w:r>
      <w:r>
        <w:rPr>
          <w:b/>
          <w:lang/>
        </w:rPr>
        <w:t>ОП</w:t>
      </w:r>
      <w:r w:rsidR="00091FAF">
        <w:rPr>
          <w:lang w:val="sr-Cyrl-CS"/>
        </w:rPr>
        <w:t>,</w:t>
      </w:r>
    </w:p>
    <w:p w:rsidR="00091FAF" w:rsidRDefault="00091FAF" w:rsidP="00F84E99">
      <w:pPr>
        <w:ind w:right="-360"/>
        <w:jc w:val="center"/>
        <w:rPr>
          <w:lang w:val="sr-Cyrl-CS"/>
        </w:rPr>
      </w:pPr>
      <w:r>
        <w:rPr>
          <w:lang w:val="sr-Cyrl-CS"/>
        </w:rPr>
        <w:t xml:space="preserve">Наручиоца Предшколска Установа ''Радост'' Чачак, </w:t>
      </w:r>
      <w:r w:rsidRPr="003970C9">
        <w:rPr>
          <w:b/>
          <w:lang w:val="sr-Cyrl-CS"/>
        </w:rPr>
        <w:t>ОБЈАВЉУЈЕ</w:t>
      </w:r>
      <w:r>
        <w:rPr>
          <w:lang w:val="sr-Cyrl-CS"/>
        </w:rPr>
        <w:t>:</w:t>
      </w:r>
    </w:p>
    <w:p w:rsidR="00091FAF" w:rsidRPr="003970C9" w:rsidRDefault="00091FAF" w:rsidP="00091FAF">
      <w:pPr>
        <w:ind w:right="-360"/>
        <w:jc w:val="center"/>
        <w:rPr>
          <w:b/>
          <w:sz w:val="36"/>
          <w:szCs w:val="36"/>
          <w:lang w:val="sr-Cyrl-CS"/>
        </w:rPr>
      </w:pPr>
      <w:r w:rsidRPr="003970C9">
        <w:rPr>
          <w:b/>
          <w:sz w:val="36"/>
          <w:szCs w:val="36"/>
          <w:lang w:val="sr-Cyrl-CS"/>
        </w:rPr>
        <w:t>ИЗМЕНУ КОНКУРСНЕ ДОКУМЕНТАЦИЈЕ</w:t>
      </w:r>
    </w:p>
    <w:p w:rsidR="00091FAF" w:rsidRPr="003970C9" w:rsidRDefault="00091FAF" w:rsidP="00091FAF">
      <w:pPr>
        <w:ind w:right="6"/>
        <w:jc w:val="both"/>
        <w:rPr>
          <w:lang w:val="sr-Cyrl-CS"/>
        </w:rPr>
      </w:pPr>
      <w:r>
        <w:rPr>
          <w:lang w:val="sr-Cyrl-CS"/>
        </w:rPr>
        <w:t xml:space="preserve">Чланом 63. Закона </w:t>
      </w:r>
      <w:r>
        <w:rPr>
          <w:lang w:val="sr-Latn-CS"/>
        </w:rPr>
        <w:t xml:space="preserve">о јавни набавкама </w:t>
      </w:r>
      <w:r>
        <w:rPr>
          <w:lang w:val="sr-Cyrl-CS"/>
        </w:rPr>
        <w:t>(''Службени гласник РС'', број 124/12 и 14/15) прописано је да је наручилац који у року за подношење понуда измени или допуни конкурсну документацију, дужан да без одлагања измене или допуне објави на Порталу јавних набавки као и на својој интернет страници.</w:t>
      </w:r>
    </w:p>
    <w:p w:rsidR="00091FAF" w:rsidRPr="007D60F8" w:rsidRDefault="00091FAF" w:rsidP="00091FAF">
      <w:pPr>
        <w:jc w:val="both"/>
        <w:rPr>
          <w:lang w:val="sr-Cyrl-CS"/>
        </w:rPr>
      </w:pPr>
      <w:r>
        <w:rPr>
          <w:lang w:val="sr-Cyrl-CS"/>
        </w:rPr>
        <w:t xml:space="preserve">У предметном поступку јавне набавке, Комисија за јавну набавку </w:t>
      </w:r>
      <w:r w:rsidR="00F84E99">
        <w:rPr>
          <w:lang/>
        </w:rPr>
        <w:t>у отвореном поступку</w:t>
      </w:r>
      <w:r>
        <w:rPr>
          <w:lang w:val="sr-Cyrl-CS"/>
        </w:rPr>
        <w:t xml:space="preserve"> - набавка </w:t>
      </w:r>
      <w:r w:rsidR="00B013E1">
        <w:rPr>
          <w:b/>
          <w:lang w:val="sr-Cyrl-CS"/>
        </w:rPr>
        <w:t>добара</w:t>
      </w:r>
      <w:r>
        <w:rPr>
          <w:lang w:val="sr-Cyrl-CS"/>
        </w:rPr>
        <w:t xml:space="preserve"> – </w:t>
      </w:r>
      <w:r w:rsidR="00F84E99">
        <w:rPr>
          <w:b/>
          <w:lang/>
        </w:rPr>
        <w:t>НАМИРНИЦЕ ЗА ПРИПРЕМАЊЕ ХРАНЕ</w:t>
      </w:r>
      <w:r>
        <w:rPr>
          <w:lang w:val="sr-Cyrl-CS"/>
        </w:rPr>
        <w:t xml:space="preserve">, број јавне набавке </w:t>
      </w:r>
      <w:r>
        <w:rPr>
          <w:b/>
          <w:lang w:val="sr-Cyrl-CS"/>
        </w:rPr>
        <w:t>1/201</w:t>
      </w:r>
      <w:r w:rsidR="00F84E99">
        <w:rPr>
          <w:b/>
          <w:lang/>
        </w:rPr>
        <w:t>8</w:t>
      </w:r>
      <w:r>
        <w:rPr>
          <w:b/>
          <w:lang w:val="sr-Cyrl-CS"/>
        </w:rPr>
        <w:t xml:space="preserve"> </w:t>
      </w:r>
      <w:r w:rsidR="00F84E99">
        <w:rPr>
          <w:b/>
          <w:lang/>
        </w:rPr>
        <w:t>ОП</w:t>
      </w:r>
      <w:r>
        <w:rPr>
          <w:lang w:val="sr-Cyrl-CS"/>
        </w:rPr>
        <w:t xml:space="preserve">, Наручиоца Предшколске Установе ''Радост'' Чачак, </w:t>
      </w:r>
      <w:r w:rsidRPr="007B1513">
        <w:rPr>
          <w:b/>
          <w:sz w:val="28"/>
          <w:szCs w:val="28"/>
          <w:lang w:val="sr-Cyrl-CS"/>
        </w:rPr>
        <w:t>врши измену конкурсне документације и то</w:t>
      </w:r>
      <w:r>
        <w:rPr>
          <w:b/>
          <w:sz w:val="28"/>
          <w:szCs w:val="28"/>
          <w:lang w:val="sr-Cyrl-CS"/>
        </w:rPr>
        <w:t xml:space="preserve"> на следећи начин</w:t>
      </w:r>
      <w:r>
        <w:rPr>
          <w:lang w:val="sr-Cyrl-CS"/>
        </w:rPr>
        <w:t>:</w:t>
      </w:r>
    </w:p>
    <w:p w:rsidR="00B013E1" w:rsidRDefault="00B013E1" w:rsidP="00F40410">
      <w:pPr>
        <w:jc w:val="both"/>
        <w:rPr>
          <w:lang w:val="sr-Cyrl-CS"/>
        </w:rPr>
      </w:pPr>
    </w:p>
    <w:p w:rsidR="009A22D1" w:rsidRDefault="00091FAF" w:rsidP="00F40410">
      <w:pPr>
        <w:jc w:val="both"/>
        <w:rPr>
          <w:lang w:val="sr-Cyrl-CS"/>
        </w:rPr>
      </w:pPr>
      <w:r>
        <w:rPr>
          <w:lang w:val="sr-Cyrl-CS"/>
        </w:rPr>
        <w:t>Стран</w:t>
      </w:r>
      <w:r w:rsidR="00392BC7">
        <w:rPr>
          <w:lang w:val="sr-Cyrl-CS"/>
        </w:rPr>
        <w:t>е 12/43 и</w:t>
      </w:r>
      <w:r>
        <w:rPr>
          <w:lang w:val="sr-Cyrl-CS"/>
        </w:rPr>
        <w:t xml:space="preserve"> </w:t>
      </w:r>
      <w:r w:rsidR="000A5576">
        <w:rPr>
          <w:lang/>
        </w:rPr>
        <w:t>13</w:t>
      </w:r>
      <w:r w:rsidR="00633CA6">
        <w:rPr>
          <w:lang w:val="sr-Cyrl-CS"/>
        </w:rPr>
        <w:t>/</w:t>
      </w:r>
      <w:r w:rsidR="000A5576">
        <w:rPr>
          <w:lang/>
        </w:rPr>
        <w:t>43</w:t>
      </w:r>
      <w:r>
        <w:rPr>
          <w:lang w:val="sr-Cyrl-CS"/>
        </w:rPr>
        <w:t xml:space="preserve"> предметне конкурсне документације престај</w:t>
      </w:r>
      <w:r w:rsidR="00392BC7">
        <w:rPr>
          <w:lang w:val="sr-Cyrl-CS"/>
        </w:rPr>
        <w:t>у</w:t>
      </w:r>
      <w:r>
        <w:rPr>
          <w:lang w:val="sr-Cyrl-CS"/>
        </w:rPr>
        <w:t xml:space="preserve"> да важ</w:t>
      </w:r>
      <w:r w:rsidR="00392BC7">
        <w:rPr>
          <w:lang w:val="sr-Cyrl-CS"/>
        </w:rPr>
        <w:t>е</w:t>
      </w:r>
      <w:r>
        <w:rPr>
          <w:lang w:val="sr-Cyrl-CS"/>
        </w:rPr>
        <w:t xml:space="preserve"> и замењуј</w:t>
      </w:r>
      <w:r w:rsidR="00392BC7">
        <w:rPr>
          <w:lang w:val="sr-Cyrl-CS"/>
        </w:rPr>
        <w:t>у</w:t>
      </w:r>
      <w:r>
        <w:rPr>
          <w:lang w:val="sr-Cyrl-CS"/>
        </w:rPr>
        <w:t xml:space="preserve"> се стран</w:t>
      </w:r>
      <w:r w:rsidR="00360EE1">
        <w:rPr>
          <w:lang w:val="sr-Cyrl-CS"/>
        </w:rPr>
        <w:t>иц</w:t>
      </w:r>
      <w:r w:rsidR="00392BC7">
        <w:rPr>
          <w:lang w:val="sr-Cyrl-CS"/>
        </w:rPr>
        <w:t>а</w:t>
      </w:r>
      <w:r w:rsidR="000A5576">
        <w:rPr>
          <w:lang/>
        </w:rPr>
        <w:t>м</w:t>
      </w:r>
      <w:r w:rsidR="00392BC7">
        <w:rPr>
          <w:lang/>
        </w:rPr>
        <w:t>а</w:t>
      </w:r>
      <w:r>
        <w:rPr>
          <w:lang w:val="sr-Cyrl-CS"/>
        </w:rPr>
        <w:t xml:space="preserve"> </w:t>
      </w:r>
      <w:r w:rsidR="00392BC7">
        <w:rPr>
          <w:lang w:val="sr-Cyrl-CS"/>
        </w:rPr>
        <w:t>12-1/43 и</w:t>
      </w:r>
      <w:r>
        <w:rPr>
          <w:lang w:val="sr-Latn-CS"/>
        </w:rPr>
        <w:t xml:space="preserve"> </w:t>
      </w:r>
      <w:r w:rsidR="000A5576">
        <w:rPr>
          <w:lang w:val="sr-Latn-CS"/>
        </w:rPr>
        <w:t>13</w:t>
      </w:r>
      <w:r>
        <w:rPr>
          <w:lang w:val="sr-Cyrl-CS"/>
        </w:rPr>
        <w:t>-</w:t>
      </w:r>
      <w:r w:rsidR="003D5013">
        <w:rPr>
          <w:lang w:val="sr-Cyrl-CS"/>
        </w:rPr>
        <w:t>1</w:t>
      </w:r>
      <w:r>
        <w:rPr>
          <w:lang w:val="sr-Cyrl-CS"/>
        </w:rPr>
        <w:t>/</w:t>
      </w:r>
      <w:r w:rsidR="000A5576">
        <w:rPr>
          <w:lang/>
        </w:rPr>
        <w:t>43</w:t>
      </w:r>
      <w:r>
        <w:rPr>
          <w:lang w:val="sr-Cyrl-CS"/>
        </w:rPr>
        <w:t xml:space="preserve">- по измени конкурсне документације. </w:t>
      </w:r>
      <w:r w:rsidR="00F40410" w:rsidRPr="007B1513">
        <w:rPr>
          <w:lang w:val="sr-Cyrl-CS"/>
        </w:rPr>
        <w:t xml:space="preserve">С тим </w:t>
      </w:r>
      <w:r w:rsidR="00F40410">
        <w:rPr>
          <w:lang w:val="sr-Cyrl-CS"/>
        </w:rPr>
        <w:t>у вези, објављујемо нов</w:t>
      </w:r>
      <w:r w:rsidR="00392BC7">
        <w:rPr>
          <w:lang w:val="sr-Cyrl-CS"/>
        </w:rPr>
        <w:t>е</w:t>
      </w:r>
      <w:r w:rsidR="00F40410">
        <w:rPr>
          <w:lang w:val="sr-Cyrl-CS"/>
        </w:rPr>
        <w:t xml:space="preserve"> стран</w:t>
      </w:r>
      <w:r w:rsidR="00392BC7">
        <w:rPr>
          <w:lang w:val="sr-Cyrl-CS"/>
        </w:rPr>
        <w:t>ице</w:t>
      </w:r>
      <w:r w:rsidR="00F40410">
        <w:rPr>
          <w:lang w:val="sr-Cyrl-CS"/>
        </w:rPr>
        <w:t xml:space="preserve"> кој</w:t>
      </w:r>
      <w:r w:rsidR="00360EE1">
        <w:rPr>
          <w:lang w:val="sr-Cyrl-CS"/>
        </w:rPr>
        <w:t>е</w:t>
      </w:r>
      <w:r w:rsidR="00F40410">
        <w:rPr>
          <w:lang w:val="sr-Cyrl-CS"/>
        </w:rPr>
        <w:t xml:space="preserve"> нос</w:t>
      </w:r>
      <w:r w:rsidR="00392BC7">
        <w:rPr>
          <w:lang w:val="sr-Cyrl-CS"/>
        </w:rPr>
        <w:t>е</w:t>
      </w:r>
      <w:r w:rsidR="00F40410">
        <w:rPr>
          <w:lang w:val="sr-Cyrl-CS"/>
        </w:rPr>
        <w:t xml:space="preserve"> ознак</w:t>
      </w:r>
      <w:r w:rsidR="000A5576">
        <w:rPr>
          <w:lang/>
        </w:rPr>
        <w:t>у</w:t>
      </w:r>
      <w:r w:rsidR="00F40410">
        <w:rPr>
          <w:lang w:val="sr-Cyrl-CS"/>
        </w:rPr>
        <w:t xml:space="preserve"> </w:t>
      </w:r>
      <w:r w:rsidR="00392BC7">
        <w:rPr>
          <w:lang w:val="sr-Cyrl-CS"/>
        </w:rPr>
        <w:t xml:space="preserve">12-1/43 и </w:t>
      </w:r>
      <w:r w:rsidR="000A5576">
        <w:rPr>
          <w:lang/>
        </w:rPr>
        <w:t>13</w:t>
      </w:r>
      <w:r w:rsidR="00F40410">
        <w:rPr>
          <w:lang w:val="sr-Cyrl-CS"/>
        </w:rPr>
        <w:t>-1/</w:t>
      </w:r>
      <w:r w:rsidR="000A5576">
        <w:rPr>
          <w:lang/>
        </w:rPr>
        <w:t>43</w:t>
      </w:r>
      <w:r w:rsidR="00F40410">
        <w:rPr>
          <w:lang w:val="sr-Cyrl-CS"/>
        </w:rPr>
        <w:t xml:space="preserve"> - по измени конкурсне документације, из ког разлога је неопходно да потенцијални понуђачи поступе у складу са овом изменом конкурсне документације, тј. неопходно је да овом изменом објављен</w:t>
      </w:r>
      <w:r w:rsidR="00392BC7">
        <w:rPr>
          <w:lang w:val="sr-Cyrl-CS"/>
        </w:rPr>
        <w:t>и</w:t>
      </w:r>
      <w:r w:rsidR="00F40410">
        <w:rPr>
          <w:lang w:val="sr-Cyrl-CS"/>
        </w:rPr>
        <w:t>м стран</w:t>
      </w:r>
      <w:r w:rsidR="00392BC7">
        <w:rPr>
          <w:lang w:val="sr-Cyrl-CS"/>
        </w:rPr>
        <w:t>а</w:t>
      </w:r>
      <w:r w:rsidR="00F40410">
        <w:rPr>
          <w:lang w:val="sr-Cyrl-CS"/>
        </w:rPr>
        <w:t>м</w:t>
      </w:r>
      <w:r w:rsidR="00392BC7">
        <w:rPr>
          <w:lang w:val="sr-Cyrl-CS"/>
        </w:rPr>
        <w:t>а</w:t>
      </w:r>
      <w:r w:rsidR="00360EE1">
        <w:rPr>
          <w:lang w:val="sr-Cyrl-CS"/>
        </w:rPr>
        <w:t xml:space="preserve"> </w:t>
      </w:r>
      <w:r w:rsidR="00392BC7">
        <w:rPr>
          <w:lang w:val="sr-Cyrl-CS"/>
        </w:rPr>
        <w:t>12-1/43 и</w:t>
      </w:r>
      <w:r w:rsidR="00F40410">
        <w:rPr>
          <w:lang w:val="sr-Cyrl-CS"/>
        </w:rPr>
        <w:t xml:space="preserve"> </w:t>
      </w:r>
      <w:r w:rsidR="000A5576">
        <w:rPr>
          <w:lang/>
        </w:rPr>
        <w:t>13</w:t>
      </w:r>
      <w:r w:rsidR="00360EE1">
        <w:rPr>
          <w:lang w:val="sr-Cyrl-CS"/>
        </w:rPr>
        <w:t>-1/</w:t>
      </w:r>
      <w:r w:rsidR="000A5576">
        <w:rPr>
          <w:lang/>
        </w:rPr>
        <w:t>43 по изм</w:t>
      </w:r>
      <w:r w:rsidR="00F40410">
        <w:rPr>
          <w:lang w:val="sr-Cyrl-CS"/>
        </w:rPr>
        <w:t>ени конкурсне документације преузму са Портала јавних набавки или интернет странице наручиоца и изврше замену првобитно објављених страна конкурсне документације - редни број стран</w:t>
      </w:r>
      <w:r w:rsidR="00392BC7">
        <w:rPr>
          <w:lang w:val="sr-Cyrl-CS"/>
        </w:rPr>
        <w:t>а</w:t>
      </w:r>
      <w:r w:rsidR="00F40410">
        <w:rPr>
          <w:lang w:val="sr-Cyrl-CS"/>
        </w:rPr>
        <w:t xml:space="preserve"> конкурсне документације</w:t>
      </w:r>
      <w:r w:rsidR="00392BC7">
        <w:rPr>
          <w:lang w:val="sr-Cyrl-CS"/>
        </w:rPr>
        <w:t xml:space="preserve"> 12/43 и</w:t>
      </w:r>
      <w:r w:rsidR="00F40410">
        <w:rPr>
          <w:lang w:val="sr-Cyrl-CS"/>
        </w:rPr>
        <w:t xml:space="preserve"> </w:t>
      </w:r>
      <w:r w:rsidR="000A5576">
        <w:rPr>
          <w:lang/>
        </w:rPr>
        <w:t>13</w:t>
      </w:r>
      <w:r w:rsidR="00360EE1">
        <w:rPr>
          <w:lang w:val="sr-Cyrl-CS"/>
        </w:rPr>
        <w:t>/</w:t>
      </w:r>
      <w:r w:rsidR="000A5576">
        <w:rPr>
          <w:lang/>
        </w:rPr>
        <w:t>43</w:t>
      </w:r>
      <w:r w:rsidR="00F40410">
        <w:rPr>
          <w:lang w:val="sr-Cyrl-CS"/>
        </w:rPr>
        <w:t>.</w:t>
      </w:r>
    </w:p>
    <w:p w:rsidR="00091FAF" w:rsidRDefault="00091FAF" w:rsidP="00091FAF">
      <w:pPr>
        <w:jc w:val="both"/>
        <w:rPr>
          <w:lang w:val="sr-Cyrl-CS"/>
        </w:rPr>
      </w:pPr>
      <w:r>
        <w:rPr>
          <w:lang w:val="sr-Cyrl-CS"/>
        </w:rPr>
        <w:t>У осталом делу конкурсна документације остаје неизмењена.</w:t>
      </w:r>
    </w:p>
    <w:p w:rsidR="00091FAF" w:rsidRDefault="00091FAF" w:rsidP="00091FAF">
      <w:pPr>
        <w:jc w:val="both"/>
        <w:rPr>
          <w:lang w:val="sr-Cyrl-CS"/>
        </w:rPr>
      </w:pPr>
      <w:r>
        <w:rPr>
          <w:lang w:val="sr-Cyrl-CS"/>
        </w:rPr>
        <w:t>У циљу припреме прихватљиве понуде, неопходно је да потенцијални понуђач поступи у складу са наведеном изменом. У супротном, понуда ће се одбити као неприхватљива.</w:t>
      </w:r>
    </w:p>
    <w:p w:rsidR="00091FAF" w:rsidRDefault="00091FAF" w:rsidP="00091FAF">
      <w:pPr>
        <w:rPr>
          <w:b/>
          <w:lang w:val="sr-Cyrl-CS"/>
        </w:rPr>
      </w:pPr>
    </w:p>
    <w:p w:rsidR="00091FAF" w:rsidRDefault="00091FAF" w:rsidP="00091FAF">
      <w:pPr>
        <w:ind w:left="2832" w:right="-426" w:firstLine="708"/>
        <w:jc w:val="center"/>
        <w:rPr>
          <w:b/>
          <w:lang w:val="sr-Cyrl-CS"/>
        </w:rPr>
      </w:pPr>
      <w:r>
        <w:rPr>
          <w:b/>
          <w:lang w:val="sr-Cyrl-CS"/>
        </w:rPr>
        <w:t>Комисија за јавну набавку 1/201</w:t>
      </w:r>
      <w:r w:rsidR="000A5576">
        <w:rPr>
          <w:b/>
          <w:lang/>
        </w:rPr>
        <w:t>8</w:t>
      </w:r>
      <w:r>
        <w:rPr>
          <w:b/>
          <w:lang w:val="sr-Cyrl-CS"/>
        </w:rPr>
        <w:t xml:space="preserve"> </w:t>
      </w:r>
      <w:r w:rsidR="000A5576">
        <w:rPr>
          <w:b/>
          <w:lang/>
        </w:rPr>
        <w:t>ОП</w:t>
      </w:r>
      <w:r>
        <w:rPr>
          <w:b/>
          <w:lang w:val="sr-Cyrl-CS"/>
        </w:rPr>
        <w:t xml:space="preserve"> </w:t>
      </w:r>
    </w:p>
    <w:p w:rsidR="00091FAF" w:rsidRDefault="00091FAF" w:rsidP="00091FAF">
      <w:pPr>
        <w:ind w:left="2832" w:right="-426" w:firstLine="708"/>
        <w:jc w:val="center"/>
        <w:rPr>
          <w:b/>
          <w:lang w:val="sr-Cyrl-CS"/>
        </w:rPr>
      </w:pPr>
      <w:r>
        <w:rPr>
          <w:b/>
          <w:lang w:val="sr-Cyrl-CS"/>
        </w:rPr>
        <w:t>Предшколска Установа ''Радост'' Чачак</w:t>
      </w:r>
    </w:p>
    <w:p w:rsidR="00B013E1" w:rsidRDefault="00B013E1" w:rsidP="00091FAF">
      <w:pPr>
        <w:ind w:left="2832" w:right="-426" w:firstLine="708"/>
        <w:jc w:val="center"/>
        <w:rPr>
          <w:b/>
          <w:lang w:val="sr-Cyrl-CS"/>
        </w:rPr>
      </w:pPr>
    </w:p>
    <w:p w:rsidR="00B013E1" w:rsidRDefault="00B013E1" w:rsidP="00091FAF">
      <w:pPr>
        <w:ind w:left="2832" w:right="-426" w:firstLine="708"/>
        <w:jc w:val="center"/>
        <w:rPr>
          <w:b/>
          <w:lang w:val="sr-Cyrl-CS"/>
        </w:rPr>
      </w:pPr>
    </w:p>
    <w:p w:rsidR="00B013E1" w:rsidRDefault="00B013E1" w:rsidP="00091FAF">
      <w:pPr>
        <w:ind w:left="2832" w:right="-426" w:firstLine="708"/>
        <w:jc w:val="center"/>
        <w:rPr>
          <w:b/>
          <w:lang w:val="sr-Cyrl-CS"/>
        </w:rPr>
      </w:pPr>
    </w:p>
    <w:p w:rsidR="00B013E1" w:rsidRDefault="00B013E1" w:rsidP="00091FAF">
      <w:pPr>
        <w:ind w:left="2832" w:right="-426" w:firstLine="708"/>
        <w:jc w:val="center"/>
        <w:rPr>
          <w:b/>
          <w:lang w:val="sr-Cyrl-CS"/>
        </w:rPr>
      </w:pPr>
    </w:p>
    <w:p w:rsidR="00B013E1" w:rsidRDefault="00B013E1" w:rsidP="00091FAF">
      <w:pPr>
        <w:ind w:left="2832" w:right="-426" w:firstLine="708"/>
        <w:jc w:val="center"/>
        <w:rPr>
          <w:b/>
          <w:lang w:val="sr-Cyrl-CS"/>
        </w:rPr>
      </w:pPr>
    </w:p>
    <w:p w:rsidR="00B013E1" w:rsidRDefault="00B013E1" w:rsidP="00091FAF">
      <w:pPr>
        <w:ind w:left="2832" w:right="-426" w:firstLine="708"/>
        <w:jc w:val="center"/>
        <w:rPr>
          <w:b/>
          <w:lang w:val="sr-Cyrl-CS"/>
        </w:rPr>
      </w:pPr>
    </w:p>
    <w:p w:rsidR="00360EE1" w:rsidRDefault="00360EE1" w:rsidP="00091FAF">
      <w:pPr>
        <w:ind w:left="2832" w:right="-426" w:firstLine="708"/>
        <w:jc w:val="center"/>
        <w:rPr>
          <w:b/>
          <w:lang w:val="sr-Cyrl-CS"/>
        </w:rPr>
      </w:pPr>
    </w:p>
    <w:p w:rsidR="00360EE1" w:rsidRDefault="00360EE1" w:rsidP="00091FAF">
      <w:pPr>
        <w:ind w:left="2832" w:right="-426" w:firstLine="708"/>
        <w:jc w:val="center"/>
        <w:rPr>
          <w:b/>
          <w:lang w:val="sr-Cyrl-CS"/>
        </w:rPr>
      </w:pPr>
    </w:p>
    <w:p w:rsidR="00360EE1" w:rsidRDefault="00360EE1" w:rsidP="00091FAF">
      <w:pPr>
        <w:ind w:left="2832" w:right="-426" w:firstLine="708"/>
        <w:jc w:val="center"/>
        <w:rPr>
          <w:b/>
          <w:lang w:val="sr-Cyrl-CS"/>
        </w:rPr>
      </w:pPr>
    </w:p>
    <w:p w:rsidR="00360EE1" w:rsidRDefault="00360EE1" w:rsidP="00091FAF">
      <w:pPr>
        <w:ind w:left="2832" w:right="-426" w:firstLine="708"/>
        <w:jc w:val="center"/>
        <w:rPr>
          <w:b/>
          <w:lang w:val="sr-Cyrl-CS"/>
        </w:rPr>
      </w:pPr>
    </w:p>
    <w:tbl>
      <w:tblPr>
        <w:tblW w:w="13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241"/>
        <w:gridCol w:w="8364"/>
      </w:tblGrid>
      <w:tr w:rsidR="00392BC7" w:rsidRPr="009F1A8B" w:rsidTr="00DD117A">
        <w:trPr>
          <w:trHeight w:val="830"/>
        </w:trPr>
        <w:tc>
          <w:tcPr>
            <w:tcW w:w="736" w:type="dxa"/>
            <w:shd w:val="clear" w:color="auto" w:fill="auto"/>
          </w:tcPr>
          <w:p w:rsidR="00392BC7" w:rsidRPr="00392BC7" w:rsidRDefault="00392BC7" w:rsidP="00DD117A">
            <w:pPr>
              <w:jc w:val="center"/>
              <w:rPr>
                <w:b/>
                <w:sz w:val="22"/>
                <w:szCs w:val="22"/>
                <w:lang w:val="sr-Cyrl-CS"/>
              </w:rPr>
            </w:pPr>
          </w:p>
        </w:tc>
        <w:tc>
          <w:tcPr>
            <w:tcW w:w="4241" w:type="dxa"/>
            <w:shd w:val="clear" w:color="auto" w:fill="auto"/>
          </w:tcPr>
          <w:p w:rsidR="00392BC7" w:rsidRPr="00392BC7" w:rsidRDefault="00392BC7" w:rsidP="00DD117A">
            <w:pPr>
              <w:jc w:val="center"/>
              <w:rPr>
                <w:b/>
                <w:sz w:val="22"/>
                <w:szCs w:val="22"/>
                <w:lang w:val="sr-Cyrl-CS"/>
              </w:rPr>
            </w:pPr>
          </w:p>
        </w:tc>
        <w:tc>
          <w:tcPr>
            <w:tcW w:w="8364" w:type="dxa"/>
            <w:shd w:val="clear" w:color="auto" w:fill="FFFFFF"/>
          </w:tcPr>
          <w:p w:rsidR="00392BC7" w:rsidRPr="009F1A8B" w:rsidRDefault="00392BC7" w:rsidP="00DD117A">
            <w:pPr>
              <w:pStyle w:val="Default"/>
              <w:rPr>
                <w:b/>
                <w:bCs/>
                <w:color w:val="auto"/>
                <w:sz w:val="22"/>
                <w:szCs w:val="22"/>
                <w:lang w:val="sr-Cyrl-CS"/>
              </w:rPr>
            </w:pPr>
            <w:r w:rsidRPr="009F1A8B">
              <w:rPr>
                <w:b/>
                <w:sz w:val="22"/>
                <w:szCs w:val="22"/>
              </w:rPr>
              <w:t xml:space="preserve">, услов да понуђач није био у блокади испуњава сваки члан групе и сваки подиспоручилац и доказ о томе доставља уз понуду. </w:t>
            </w:r>
          </w:p>
        </w:tc>
      </w:tr>
      <w:tr w:rsidR="00392BC7" w:rsidRPr="009F1A8B" w:rsidTr="00DD117A">
        <w:tc>
          <w:tcPr>
            <w:tcW w:w="736" w:type="dxa"/>
            <w:shd w:val="clear" w:color="auto" w:fill="C6D9F1"/>
          </w:tcPr>
          <w:p w:rsidR="00392BC7" w:rsidRPr="00C71B45" w:rsidRDefault="00392BC7" w:rsidP="00DD117A">
            <w:pPr>
              <w:jc w:val="center"/>
              <w:rPr>
                <w:b/>
                <w:sz w:val="22"/>
                <w:szCs w:val="22"/>
                <w:lang w:val="sr-Cyrl-CS"/>
              </w:rPr>
            </w:pPr>
            <w:r w:rsidRPr="00C71B45">
              <w:rPr>
                <w:b/>
                <w:sz w:val="22"/>
                <w:szCs w:val="22"/>
                <w:lang w:val="sr-Cyrl-CS"/>
              </w:rPr>
              <w:t>2.</w:t>
            </w:r>
          </w:p>
        </w:tc>
        <w:tc>
          <w:tcPr>
            <w:tcW w:w="4241" w:type="dxa"/>
            <w:shd w:val="clear" w:color="auto" w:fill="C6D9F1"/>
          </w:tcPr>
          <w:p w:rsidR="00392BC7" w:rsidRPr="00E67EBF" w:rsidRDefault="00392BC7" w:rsidP="00DD117A">
            <w:pPr>
              <w:jc w:val="center"/>
              <w:rPr>
                <w:b/>
                <w:sz w:val="22"/>
                <w:szCs w:val="22"/>
                <w:lang w:val="sr-Cyrl-CS"/>
              </w:rPr>
            </w:pPr>
            <w:r w:rsidRPr="00E67EBF">
              <w:rPr>
                <w:b/>
                <w:sz w:val="22"/>
                <w:szCs w:val="22"/>
                <w:lang w:val="sr-Cyrl-CS"/>
              </w:rPr>
              <w:t>ПОСЛОВНИ КАПАЦИТЕТ</w:t>
            </w:r>
          </w:p>
        </w:tc>
        <w:tc>
          <w:tcPr>
            <w:tcW w:w="8364" w:type="dxa"/>
            <w:vMerge w:val="restart"/>
            <w:shd w:val="clear" w:color="auto" w:fill="FFFFFF"/>
          </w:tcPr>
          <w:p w:rsidR="00392BC7" w:rsidRPr="00E67EBF" w:rsidRDefault="00392BC7" w:rsidP="00DD117A">
            <w:pPr>
              <w:pStyle w:val="ListParagraph"/>
              <w:ind w:left="0"/>
              <w:jc w:val="both"/>
              <w:rPr>
                <w:lang w:val="sr-Cyrl-CS"/>
              </w:rPr>
            </w:pPr>
          </w:p>
          <w:p w:rsidR="00392BC7" w:rsidRPr="00E67EBF" w:rsidRDefault="00392BC7" w:rsidP="00DD117A">
            <w:pPr>
              <w:pStyle w:val="ListParagraph"/>
              <w:ind w:left="0"/>
              <w:jc w:val="both"/>
              <w:rPr>
                <w:lang w:val="sr-Cyrl-CS"/>
              </w:rPr>
            </w:pPr>
          </w:p>
          <w:p w:rsidR="00392BC7" w:rsidRPr="00E67EBF" w:rsidRDefault="00392BC7" w:rsidP="00DD117A">
            <w:pPr>
              <w:pStyle w:val="ListParagraph"/>
              <w:ind w:left="0"/>
              <w:jc w:val="both"/>
              <w:rPr>
                <w:color w:val="auto"/>
                <w:sz w:val="22"/>
                <w:szCs w:val="22"/>
                <w:lang w:val="sr-Cyrl-CS"/>
              </w:rPr>
            </w:pPr>
            <w:r w:rsidRPr="00E67EBF">
              <w:rPr>
                <w:lang w:val="sr-Cyrl-CS"/>
              </w:rPr>
              <w:t xml:space="preserve">Сертификат – документ о успостављању система за осигурање безбедности хране </w:t>
            </w:r>
            <w:r w:rsidRPr="00E67EBF">
              <w:t>(HACCP)</w:t>
            </w:r>
            <w:r w:rsidRPr="00E67EBF">
              <w:rPr>
                <w:lang w:val="sr-Cyrl-CS"/>
              </w:rPr>
              <w:t xml:space="preserve"> за произвођаче добара за партије </w:t>
            </w:r>
            <w:r w:rsidRPr="00392BC7">
              <w:rPr>
                <w:highlight w:val="yellow"/>
                <w:lang/>
              </w:rPr>
              <w:t>2,</w:t>
            </w:r>
            <w:r w:rsidRPr="00E67EBF">
              <w:rPr>
                <w:lang w:val="sr-Cyrl-CS"/>
              </w:rPr>
              <w:t>3,</w:t>
            </w:r>
            <w:r w:rsidRPr="00392BC7">
              <w:rPr>
                <w:highlight w:val="yellow"/>
                <w:lang/>
              </w:rPr>
              <w:t>4</w:t>
            </w:r>
            <w:r>
              <w:rPr>
                <w:lang/>
              </w:rPr>
              <w:t>,</w:t>
            </w:r>
            <w:r w:rsidRPr="00E67EBF">
              <w:rPr>
                <w:lang w:val="sr-Cyrl-CS"/>
              </w:rPr>
              <w:t>5,6,7,8</w:t>
            </w:r>
          </w:p>
        </w:tc>
      </w:tr>
      <w:tr w:rsidR="00392BC7" w:rsidRPr="009F1A8B" w:rsidTr="00DD117A">
        <w:trPr>
          <w:trHeight w:val="851"/>
        </w:trPr>
        <w:tc>
          <w:tcPr>
            <w:tcW w:w="736" w:type="dxa"/>
            <w:shd w:val="clear" w:color="auto" w:fill="auto"/>
          </w:tcPr>
          <w:p w:rsidR="00392BC7" w:rsidRPr="009F1A8B" w:rsidRDefault="00392BC7" w:rsidP="00DD117A">
            <w:pPr>
              <w:rPr>
                <w:sz w:val="22"/>
                <w:szCs w:val="22"/>
                <w:lang/>
              </w:rPr>
            </w:pPr>
          </w:p>
          <w:p w:rsidR="00392BC7" w:rsidRPr="009F1A8B" w:rsidRDefault="00392BC7" w:rsidP="00DD117A">
            <w:pPr>
              <w:rPr>
                <w:sz w:val="22"/>
                <w:szCs w:val="22"/>
                <w:lang/>
              </w:rPr>
            </w:pPr>
          </w:p>
          <w:p w:rsidR="00392BC7" w:rsidRPr="009F1A8B" w:rsidRDefault="00392BC7" w:rsidP="00DD117A">
            <w:pPr>
              <w:rPr>
                <w:sz w:val="22"/>
                <w:szCs w:val="22"/>
                <w:lang/>
              </w:rPr>
            </w:pPr>
          </w:p>
        </w:tc>
        <w:tc>
          <w:tcPr>
            <w:tcW w:w="4241" w:type="dxa"/>
            <w:shd w:val="clear" w:color="auto" w:fill="auto"/>
          </w:tcPr>
          <w:p w:rsidR="00392BC7" w:rsidRPr="00E67EBF" w:rsidRDefault="00392BC7" w:rsidP="00DD117A">
            <w:pPr>
              <w:jc w:val="both"/>
              <w:rPr>
                <w:sz w:val="22"/>
                <w:szCs w:val="22"/>
                <w:lang w:val="sr-Cyrl-CS"/>
              </w:rPr>
            </w:pPr>
            <w:r w:rsidRPr="00E67EBF">
              <w:rPr>
                <w:sz w:val="22"/>
                <w:szCs w:val="22"/>
                <w:lang w:val="sr-Cyrl-CS"/>
              </w:rPr>
              <w:t>д</w:t>
            </w:r>
            <w:r w:rsidRPr="00E67EBF">
              <w:rPr>
                <w:sz w:val="22"/>
                <w:szCs w:val="22"/>
                <w:lang w:val="sr-Latn-CS"/>
              </w:rPr>
              <w:t>а има успостављен систем за осигурање безбедности хране</w:t>
            </w:r>
            <w:r w:rsidRPr="00E67EBF">
              <w:rPr>
                <w:sz w:val="22"/>
                <w:szCs w:val="22"/>
                <w:lang w:val="sr-Cyrl-CS"/>
              </w:rPr>
              <w:t xml:space="preserve"> у производњи и промету</w:t>
            </w:r>
            <w:r w:rsidRPr="00E67EBF">
              <w:rPr>
                <w:sz w:val="22"/>
                <w:szCs w:val="22"/>
                <w:lang w:val="sr-Latn-CS"/>
              </w:rPr>
              <w:t>,</w:t>
            </w:r>
            <w:r w:rsidRPr="00E67EBF">
              <w:rPr>
                <w:sz w:val="22"/>
                <w:szCs w:val="22"/>
                <w:lang w:val="sr-Cyrl-CS"/>
              </w:rPr>
              <w:t xml:space="preserve"> </w:t>
            </w:r>
            <w:r w:rsidRPr="00E67EBF">
              <w:rPr>
                <w:sz w:val="22"/>
                <w:szCs w:val="22"/>
                <w:lang w:val="sr-Latn-CS"/>
              </w:rPr>
              <w:t>у складу са принципима добре произвођачке и хигијенске праксе и анализе опасности и критичних контролних тачака ( HACCP ), сагласно одредбама Закона о безбедности хране („Сл. глсник РС „ бр. 41/09</w:t>
            </w:r>
            <w:r w:rsidRPr="00E67EBF">
              <w:rPr>
                <w:sz w:val="22"/>
                <w:szCs w:val="22"/>
                <w:lang/>
              </w:rPr>
              <w:t xml:space="preserve">) </w:t>
            </w:r>
            <w:r w:rsidRPr="00E67EBF">
              <w:rPr>
                <w:b/>
                <w:sz w:val="22"/>
                <w:szCs w:val="22"/>
                <w:lang/>
              </w:rPr>
              <w:t>ако истим Законом није одређено другачије</w:t>
            </w:r>
            <w:r w:rsidRPr="00E67EBF">
              <w:rPr>
                <w:sz w:val="22"/>
                <w:szCs w:val="22"/>
                <w:lang w:val="sr-Cyrl-CS"/>
              </w:rPr>
              <w:t xml:space="preserve">;   </w:t>
            </w:r>
          </w:p>
        </w:tc>
        <w:tc>
          <w:tcPr>
            <w:tcW w:w="8364" w:type="dxa"/>
            <w:vMerge/>
            <w:shd w:val="clear" w:color="auto" w:fill="FFFFFF"/>
          </w:tcPr>
          <w:p w:rsidR="00392BC7" w:rsidRPr="00E67EBF" w:rsidRDefault="00392BC7" w:rsidP="00DD117A">
            <w:pPr>
              <w:jc w:val="both"/>
              <w:rPr>
                <w:sz w:val="22"/>
                <w:szCs w:val="22"/>
                <w:lang w:val="sr-Cyrl-CS"/>
              </w:rPr>
            </w:pPr>
          </w:p>
        </w:tc>
      </w:tr>
      <w:tr w:rsidR="00392BC7" w:rsidRPr="009F1A8B" w:rsidTr="00DD117A">
        <w:tc>
          <w:tcPr>
            <w:tcW w:w="736" w:type="dxa"/>
            <w:shd w:val="clear" w:color="auto" w:fill="C6D9F1"/>
          </w:tcPr>
          <w:p w:rsidR="00392BC7" w:rsidRPr="00C71B45" w:rsidRDefault="00392BC7" w:rsidP="00DD117A">
            <w:pPr>
              <w:jc w:val="center"/>
              <w:rPr>
                <w:b/>
                <w:sz w:val="22"/>
                <w:szCs w:val="22"/>
                <w:lang w:val="sr-Cyrl-CS"/>
              </w:rPr>
            </w:pPr>
            <w:r w:rsidRPr="00C71B45">
              <w:rPr>
                <w:b/>
                <w:sz w:val="22"/>
                <w:szCs w:val="22"/>
                <w:lang w:val="sr-Cyrl-CS"/>
              </w:rPr>
              <w:t>3.</w:t>
            </w:r>
          </w:p>
        </w:tc>
        <w:tc>
          <w:tcPr>
            <w:tcW w:w="4241" w:type="dxa"/>
            <w:shd w:val="clear" w:color="auto" w:fill="C6D9F1"/>
          </w:tcPr>
          <w:p w:rsidR="00392BC7" w:rsidRPr="00C71B45" w:rsidRDefault="00392BC7" w:rsidP="00DD117A">
            <w:pPr>
              <w:jc w:val="center"/>
              <w:rPr>
                <w:b/>
                <w:sz w:val="22"/>
                <w:szCs w:val="22"/>
                <w:lang w:val="sr-Cyrl-CS"/>
              </w:rPr>
            </w:pPr>
            <w:r w:rsidRPr="00C71B45">
              <w:rPr>
                <w:b/>
                <w:sz w:val="22"/>
                <w:szCs w:val="22"/>
                <w:lang w:val="sr-Cyrl-CS"/>
              </w:rPr>
              <w:t>ТЕХНИЧКИ КАПАЦИТЕТ</w:t>
            </w:r>
          </w:p>
        </w:tc>
        <w:tc>
          <w:tcPr>
            <w:tcW w:w="8364" w:type="dxa"/>
            <w:vMerge w:val="restart"/>
            <w:shd w:val="clear" w:color="auto" w:fill="FFFFFF"/>
          </w:tcPr>
          <w:p w:rsidR="00392BC7" w:rsidRDefault="00392BC7" w:rsidP="00DD117A">
            <w:pPr>
              <w:rPr>
                <w:sz w:val="22"/>
                <w:szCs w:val="22"/>
                <w:lang w:val="sr-Cyrl-CS"/>
              </w:rPr>
            </w:pPr>
          </w:p>
          <w:p w:rsidR="00392BC7" w:rsidRDefault="00392BC7" w:rsidP="00DD117A">
            <w:pPr>
              <w:rPr>
                <w:sz w:val="22"/>
                <w:szCs w:val="22"/>
                <w:lang w:val="sr-Cyrl-CS"/>
              </w:rPr>
            </w:pPr>
          </w:p>
          <w:p w:rsidR="00392BC7" w:rsidRDefault="00392BC7" w:rsidP="00DD117A">
            <w:pPr>
              <w:rPr>
                <w:sz w:val="22"/>
                <w:szCs w:val="22"/>
                <w:lang w:val="sr-Cyrl-CS"/>
              </w:rPr>
            </w:pPr>
          </w:p>
          <w:p w:rsidR="00392BC7" w:rsidRPr="001009C4" w:rsidRDefault="00392BC7" w:rsidP="00DD117A">
            <w:pPr>
              <w:rPr>
                <w:sz w:val="22"/>
                <w:szCs w:val="22"/>
                <w:lang w:val="sr-Cyrl-CS"/>
              </w:rPr>
            </w:pPr>
            <w:r>
              <w:rPr>
                <w:sz w:val="22"/>
                <w:szCs w:val="22"/>
                <w:lang w:val="sr-Cyrl-CS"/>
              </w:rPr>
              <w:t xml:space="preserve">Образац изјаве бр.7 и 8 </w:t>
            </w:r>
            <w:r>
              <w:rPr>
                <w:sz w:val="22"/>
                <w:szCs w:val="22"/>
                <w:lang w:val="sr-Latn-CS"/>
              </w:rPr>
              <w:t xml:space="preserve">ове </w:t>
            </w:r>
            <w:r>
              <w:rPr>
                <w:sz w:val="22"/>
                <w:szCs w:val="22"/>
                <w:lang w:val="sr-Cyrl-CS"/>
              </w:rPr>
              <w:t>конкурсне документације</w:t>
            </w:r>
          </w:p>
        </w:tc>
      </w:tr>
      <w:tr w:rsidR="00392BC7" w:rsidRPr="009F1A8B" w:rsidTr="00DD117A">
        <w:trPr>
          <w:trHeight w:val="557"/>
        </w:trPr>
        <w:tc>
          <w:tcPr>
            <w:tcW w:w="736" w:type="dxa"/>
            <w:shd w:val="clear" w:color="auto" w:fill="auto"/>
            <w:vAlign w:val="bottom"/>
          </w:tcPr>
          <w:p w:rsidR="00392BC7" w:rsidRPr="009F1A8B" w:rsidRDefault="00392BC7" w:rsidP="00DD117A">
            <w:pPr>
              <w:rPr>
                <w:sz w:val="22"/>
                <w:szCs w:val="22"/>
                <w:lang/>
              </w:rPr>
            </w:pPr>
          </w:p>
        </w:tc>
        <w:tc>
          <w:tcPr>
            <w:tcW w:w="4241" w:type="dxa"/>
            <w:shd w:val="clear" w:color="auto" w:fill="auto"/>
          </w:tcPr>
          <w:p w:rsidR="00392BC7" w:rsidRPr="00E67EBF" w:rsidRDefault="00392BC7" w:rsidP="00392BC7">
            <w:pPr>
              <w:pStyle w:val="Default"/>
              <w:jc w:val="both"/>
              <w:rPr>
                <w:color w:val="auto"/>
                <w:sz w:val="22"/>
                <w:szCs w:val="22"/>
                <w:lang w:val="sr-Cyrl-CS"/>
              </w:rPr>
            </w:pPr>
            <w:r w:rsidRPr="00E67EBF">
              <w:rPr>
                <w:sz w:val="22"/>
                <w:szCs w:val="22"/>
              </w:rPr>
              <w:t xml:space="preserve">да понуђач у моменту подношења понуде располаже минимум једним теретним возилом специјалне намене (возило са хладњачом) за партије </w:t>
            </w:r>
            <w:r w:rsidRPr="00392BC7">
              <w:rPr>
                <w:sz w:val="22"/>
                <w:szCs w:val="22"/>
                <w:highlight w:val="yellow"/>
              </w:rPr>
              <w:t>2,</w:t>
            </w:r>
            <w:r>
              <w:rPr>
                <w:sz w:val="22"/>
                <w:szCs w:val="22"/>
                <w:lang w:val="sr-Cyrl-CS"/>
              </w:rPr>
              <w:t>4,</w:t>
            </w:r>
            <w:r w:rsidRPr="00E67EBF">
              <w:rPr>
                <w:sz w:val="22"/>
                <w:szCs w:val="22"/>
              </w:rPr>
              <w:t>5,6,7</w:t>
            </w:r>
            <w:r>
              <w:rPr>
                <w:sz w:val="22"/>
                <w:szCs w:val="22"/>
                <w:lang/>
              </w:rPr>
              <w:t>и</w:t>
            </w:r>
            <w:r w:rsidRPr="00392BC7">
              <w:rPr>
                <w:sz w:val="22"/>
                <w:szCs w:val="22"/>
                <w:highlight w:val="yellow"/>
                <w:lang/>
              </w:rPr>
              <w:t>8</w:t>
            </w:r>
            <w:r w:rsidRPr="00E67EBF">
              <w:rPr>
                <w:sz w:val="22"/>
                <w:szCs w:val="22"/>
              </w:rPr>
              <w:t xml:space="preserve"> односно минимум једним теретним возилом за партије</w:t>
            </w:r>
            <w:r>
              <w:rPr>
                <w:sz w:val="22"/>
                <w:szCs w:val="22"/>
                <w:lang/>
              </w:rPr>
              <w:t xml:space="preserve"> </w:t>
            </w:r>
            <w:r w:rsidRPr="00E67EBF">
              <w:rPr>
                <w:sz w:val="22"/>
                <w:szCs w:val="22"/>
              </w:rPr>
              <w:t>3,10,11,12.</w:t>
            </w:r>
          </w:p>
        </w:tc>
        <w:tc>
          <w:tcPr>
            <w:tcW w:w="8364" w:type="dxa"/>
            <w:vMerge/>
            <w:shd w:val="clear" w:color="auto" w:fill="FFFFFF"/>
          </w:tcPr>
          <w:p w:rsidR="00392BC7" w:rsidRPr="009F1A8B" w:rsidRDefault="00392BC7" w:rsidP="00DD117A">
            <w:pPr>
              <w:jc w:val="both"/>
              <w:rPr>
                <w:sz w:val="22"/>
                <w:szCs w:val="22"/>
                <w:lang w:val="sr-Cyrl-CS"/>
              </w:rPr>
            </w:pPr>
          </w:p>
        </w:tc>
      </w:tr>
      <w:tr w:rsidR="00392BC7" w:rsidRPr="009F1A8B" w:rsidTr="00DD117A">
        <w:tc>
          <w:tcPr>
            <w:tcW w:w="736" w:type="dxa"/>
            <w:shd w:val="clear" w:color="auto" w:fill="C6D9F1"/>
          </w:tcPr>
          <w:p w:rsidR="00392BC7" w:rsidRPr="00C71B45" w:rsidRDefault="00392BC7" w:rsidP="00DD117A">
            <w:pPr>
              <w:jc w:val="center"/>
              <w:rPr>
                <w:b/>
                <w:sz w:val="22"/>
                <w:szCs w:val="22"/>
                <w:lang w:val="sr-Cyrl-CS"/>
              </w:rPr>
            </w:pPr>
            <w:r w:rsidRPr="00C71B45">
              <w:rPr>
                <w:b/>
                <w:sz w:val="22"/>
                <w:szCs w:val="22"/>
                <w:lang w:val="sr-Cyrl-CS"/>
              </w:rPr>
              <w:t>4.</w:t>
            </w:r>
          </w:p>
        </w:tc>
        <w:tc>
          <w:tcPr>
            <w:tcW w:w="4241" w:type="dxa"/>
            <w:shd w:val="clear" w:color="auto" w:fill="C6D9F1"/>
          </w:tcPr>
          <w:p w:rsidR="00392BC7" w:rsidRPr="00C71B45" w:rsidRDefault="00392BC7" w:rsidP="00DD117A">
            <w:pPr>
              <w:jc w:val="center"/>
              <w:rPr>
                <w:b/>
                <w:sz w:val="22"/>
                <w:szCs w:val="22"/>
                <w:lang w:val="sr-Cyrl-CS"/>
              </w:rPr>
            </w:pPr>
            <w:r w:rsidRPr="00C71B45">
              <w:rPr>
                <w:b/>
                <w:sz w:val="22"/>
                <w:szCs w:val="22"/>
                <w:lang w:val="sr-Cyrl-CS"/>
              </w:rPr>
              <w:t>КАДРОВСКИ КАПАЦИТЕТ</w:t>
            </w:r>
          </w:p>
        </w:tc>
        <w:tc>
          <w:tcPr>
            <w:tcW w:w="8364" w:type="dxa"/>
            <w:vMerge w:val="restart"/>
            <w:shd w:val="clear" w:color="auto" w:fill="FFFFFF"/>
          </w:tcPr>
          <w:p w:rsidR="00392BC7" w:rsidRPr="00B61D63" w:rsidRDefault="00392BC7" w:rsidP="00DD117A">
            <w:pPr>
              <w:pStyle w:val="ListParagraph"/>
              <w:suppressAutoHyphens w:val="0"/>
              <w:spacing w:line="240" w:lineRule="auto"/>
              <w:ind w:left="0"/>
              <w:jc w:val="both"/>
              <w:rPr>
                <w:sz w:val="22"/>
                <w:szCs w:val="22"/>
                <w:lang w:val="sr-Cyrl-CS"/>
              </w:rPr>
            </w:pPr>
          </w:p>
          <w:p w:rsidR="00392BC7" w:rsidRPr="00B61D63" w:rsidRDefault="00392BC7" w:rsidP="00DD117A">
            <w:pPr>
              <w:pStyle w:val="ListParagraph"/>
              <w:suppressAutoHyphens w:val="0"/>
              <w:spacing w:line="240" w:lineRule="auto"/>
              <w:ind w:left="0"/>
              <w:jc w:val="both"/>
              <w:rPr>
                <w:sz w:val="22"/>
                <w:szCs w:val="22"/>
                <w:lang w:val="sr-Cyrl-CS"/>
              </w:rPr>
            </w:pPr>
          </w:p>
          <w:p w:rsidR="00392BC7" w:rsidRPr="00B61D63" w:rsidRDefault="00392BC7" w:rsidP="00DD117A">
            <w:pPr>
              <w:pStyle w:val="ListParagraph"/>
              <w:suppressAutoHyphens w:val="0"/>
              <w:spacing w:line="240" w:lineRule="auto"/>
              <w:ind w:left="0"/>
              <w:jc w:val="both"/>
              <w:rPr>
                <w:sz w:val="22"/>
                <w:szCs w:val="22"/>
                <w:lang w:val="sr-Cyrl-CS"/>
              </w:rPr>
            </w:pPr>
          </w:p>
          <w:p w:rsidR="00392BC7" w:rsidRPr="00B61D63" w:rsidRDefault="00392BC7" w:rsidP="00DD117A">
            <w:pPr>
              <w:pStyle w:val="ListParagraph"/>
              <w:suppressAutoHyphens w:val="0"/>
              <w:spacing w:line="240" w:lineRule="auto"/>
              <w:ind w:left="0"/>
              <w:jc w:val="both"/>
              <w:rPr>
                <w:sz w:val="22"/>
                <w:szCs w:val="22"/>
                <w:lang w:val="sr-Cyrl-CS"/>
              </w:rPr>
            </w:pPr>
            <w:r w:rsidRPr="00B61D63">
              <w:rPr>
                <w:sz w:val="22"/>
                <w:szCs w:val="22"/>
                <w:lang w:val="sr-Cyrl-CS"/>
              </w:rPr>
              <w:t>Образац изјаве бр. 9 ове конкурсне документације.</w:t>
            </w:r>
          </w:p>
          <w:p w:rsidR="00392BC7" w:rsidRPr="00B61D63" w:rsidRDefault="00392BC7" w:rsidP="00DD117A">
            <w:pPr>
              <w:jc w:val="center"/>
              <w:rPr>
                <w:sz w:val="22"/>
                <w:szCs w:val="22"/>
                <w:lang w:val="sr-Cyrl-CS"/>
              </w:rPr>
            </w:pPr>
          </w:p>
        </w:tc>
      </w:tr>
      <w:tr w:rsidR="00392BC7" w:rsidRPr="009F1A8B" w:rsidTr="00DD117A">
        <w:trPr>
          <w:trHeight w:val="1212"/>
        </w:trPr>
        <w:tc>
          <w:tcPr>
            <w:tcW w:w="736" w:type="dxa"/>
            <w:shd w:val="clear" w:color="auto" w:fill="auto"/>
          </w:tcPr>
          <w:p w:rsidR="00392BC7" w:rsidRPr="009F1A8B" w:rsidRDefault="00392BC7" w:rsidP="00DD117A">
            <w:pPr>
              <w:rPr>
                <w:sz w:val="22"/>
                <w:szCs w:val="22"/>
                <w:lang/>
              </w:rPr>
            </w:pPr>
          </w:p>
          <w:p w:rsidR="00392BC7" w:rsidRPr="009F1A8B" w:rsidRDefault="00392BC7" w:rsidP="00DD117A">
            <w:pPr>
              <w:rPr>
                <w:sz w:val="22"/>
                <w:szCs w:val="22"/>
                <w:lang/>
              </w:rPr>
            </w:pPr>
          </w:p>
        </w:tc>
        <w:tc>
          <w:tcPr>
            <w:tcW w:w="4241" w:type="dxa"/>
            <w:shd w:val="clear" w:color="auto" w:fill="auto"/>
          </w:tcPr>
          <w:p w:rsidR="00392BC7" w:rsidRPr="00AA4DAF" w:rsidRDefault="00392BC7" w:rsidP="00DD117A">
            <w:pPr>
              <w:pStyle w:val="Default"/>
              <w:jc w:val="both"/>
              <w:rPr>
                <w:color w:val="auto"/>
                <w:sz w:val="22"/>
                <w:szCs w:val="22"/>
                <w:lang w:val="sr-Cyrl-CS"/>
              </w:rPr>
            </w:pPr>
            <w:r w:rsidRPr="00E67EBF">
              <w:t>да</w:t>
            </w:r>
            <w:r w:rsidRPr="00E67EBF">
              <w:rPr>
                <w:lang w:val="sr-Latn-CS"/>
              </w:rPr>
              <w:t xml:space="preserve"> понуђач пре </w:t>
            </w:r>
            <w:r w:rsidRPr="00E67EBF">
              <w:t>објављивања позива за подношење понуда има у радном односу минимум 5 запослених,од којих минимум једног технолога прехрамбене струке за партије</w:t>
            </w:r>
            <w:r>
              <w:rPr>
                <w:lang/>
              </w:rPr>
              <w:t xml:space="preserve">                                                                  </w:t>
            </w:r>
            <w:r w:rsidRPr="00E67EBF">
              <w:t xml:space="preserve"> 5,6,7</w:t>
            </w:r>
          </w:p>
        </w:tc>
        <w:tc>
          <w:tcPr>
            <w:tcW w:w="8364" w:type="dxa"/>
            <w:vMerge/>
            <w:shd w:val="clear" w:color="auto" w:fill="FFFFFF"/>
          </w:tcPr>
          <w:p w:rsidR="00392BC7" w:rsidRPr="009F1A8B" w:rsidRDefault="00392BC7" w:rsidP="00DD117A">
            <w:pPr>
              <w:jc w:val="both"/>
              <w:rPr>
                <w:sz w:val="22"/>
                <w:szCs w:val="22"/>
                <w:lang w:val="sr-Cyrl-CS"/>
              </w:rPr>
            </w:pPr>
          </w:p>
        </w:tc>
      </w:tr>
    </w:tbl>
    <w:p w:rsidR="00392BC7" w:rsidRPr="00E57567" w:rsidRDefault="00392BC7" w:rsidP="00392BC7">
      <w:pPr>
        <w:rPr>
          <w:sz w:val="22"/>
          <w:szCs w:val="22"/>
          <w:lang w:val="ru-RU"/>
        </w:rPr>
      </w:pPr>
      <w:r w:rsidRPr="00E57567">
        <w:rPr>
          <w:sz w:val="22"/>
          <w:szCs w:val="22"/>
          <w:lang w:val="ru-RU"/>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Потребно је да понуђач доказе о испуњености услова преда у форми која онемогућава убацивање или уклањање појединих докумената након отварања понуде – повезане траком, (јемствеником), у целини и запечаћене. Понуда мора бити јасна, недвосмислена, читко попуњена, оверена печатом и потписана од стране одговорног лица понуђача. </w:t>
      </w:r>
    </w:p>
    <w:p w:rsidR="00F84E99" w:rsidRPr="00AC1566" w:rsidRDefault="00392BC7" w:rsidP="00392BC7">
      <w:pPr>
        <w:pStyle w:val="Default"/>
        <w:rPr>
          <w:color w:val="auto"/>
          <w:sz w:val="22"/>
          <w:szCs w:val="22"/>
          <w:lang w:val="ru-RU"/>
        </w:rPr>
      </w:pPr>
      <w:r w:rsidRPr="00E57567">
        <w:rPr>
          <w:color w:val="auto"/>
          <w:sz w:val="22"/>
          <w:szCs w:val="22"/>
          <w:lang w:val="ru-RU"/>
        </w:rPr>
        <w:t>Испуњеност услова из члана 75. Закона, понуђач доказује документима које подноси уз понуду. Уз понуду понуђач доставља доказе о испуњености обавезних услова из члана 75. став 1. до 5. ЗЈН и додатних услова из чл. 76. ЗЈН и конкурсне документације наручиоца.</w:t>
      </w:r>
      <w:r w:rsidRPr="00AC1566">
        <w:rPr>
          <w:b/>
          <w:color w:val="auto"/>
          <w:sz w:val="22"/>
          <w:szCs w:val="22"/>
          <w:u w:val="single"/>
          <w:lang w:val="ru-RU"/>
        </w:rPr>
        <w:t xml:space="preserve">Понуђач није дужан да доставља у понуди доказе који су јавно доступни на интернет страницама надлежних органа,али је дужан да наведе интернет адресе,на </w:t>
      </w:r>
    </w:p>
    <w:p w:rsidR="00392BC7" w:rsidRDefault="00392BC7" w:rsidP="00392BC7">
      <w:pPr>
        <w:pStyle w:val="Default"/>
        <w:rPr>
          <w:b/>
          <w:color w:val="auto"/>
          <w:sz w:val="22"/>
          <w:szCs w:val="22"/>
          <w:u w:val="single"/>
          <w:lang w:val="ru-RU"/>
        </w:rPr>
      </w:pPr>
    </w:p>
    <w:tbl>
      <w:tblPr>
        <w:tblW w:w="9242" w:type="dxa"/>
        <w:tblLayout w:type="fixed"/>
        <w:tblLook w:val="0000"/>
      </w:tblPr>
      <w:tblGrid>
        <w:gridCol w:w="8208"/>
        <w:gridCol w:w="1034"/>
      </w:tblGrid>
      <w:tr w:rsidR="00392BC7" w:rsidTr="00DD117A">
        <w:tc>
          <w:tcPr>
            <w:tcW w:w="8208" w:type="dxa"/>
            <w:tcBorders>
              <w:top w:val="single" w:sz="8" w:space="0" w:color="808080"/>
            </w:tcBorders>
            <w:shd w:val="clear" w:color="auto" w:fill="auto"/>
          </w:tcPr>
          <w:p w:rsidR="00392BC7" w:rsidRPr="00F84E99" w:rsidRDefault="00392BC7" w:rsidP="00DD117A">
            <w:pPr>
              <w:pStyle w:val="Footer"/>
              <w:jc w:val="right"/>
              <w:rPr>
                <w:b/>
                <w:bCs/>
                <w:color w:val="4F81BD"/>
                <w:lang/>
              </w:rPr>
            </w:pPr>
            <w:r>
              <w:rPr>
                <w:b/>
                <w:bCs/>
                <w:color w:val="4F81BD"/>
                <w:lang/>
              </w:rPr>
              <w:t xml:space="preserve">Конкурсна документација </w:t>
            </w:r>
            <w:r>
              <w:rPr>
                <w:b/>
                <w:bCs/>
                <w:color w:val="4F81BD"/>
                <w:lang/>
              </w:rPr>
              <w:t>у отвореном поступку</w:t>
            </w:r>
            <w:r>
              <w:rPr>
                <w:b/>
                <w:bCs/>
                <w:color w:val="4F81BD"/>
                <w:lang/>
              </w:rPr>
              <w:t xml:space="preserve"> ЈН бр.</w:t>
            </w:r>
            <w:r>
              <w:rPr>
                <w:b/>
                <w:bCs/>
                <w:color w:val="4F81BD"/>
                <w:lang w:val="sr-Cyrl-CS"/>
              </w:rPr>
              <w:t>1/201</w:t>
            </w:r>
            <w:r>
              <w:rPr>
                <w:b/>
                <w:bCs/>
                <w:color w:val="4F81BD"/>
                <w:lang/>
              </w:rPr>
              <w:t>8</w:t>
            </w:r>
            <w:r>
              <w:rPr>
                <w:b/>
                <w:bCs/>
                <w:color w:val="4F81BD"/>
                <w:lang w:val="sr-Cyrl-CS"/>
              </w:rPr>
              <w:t xml:space="preserve"> </w:t>
            </w:r>
            <w:r>
              <w:rPr>
                <w:b/>
                <w:bCs/>
                <w:color w:val="4F81BD"/>
                <w:lang/>
              </w:rPr>
              <w:t>ОП</w:t>
            </w:r>
          </w:p>
        </w:tc>
        <w:tc>
          <w:tcPr>
            <w:tcW w:w="1034" w:type="dxa"/>
            <w:tcBorders>
              <w:top w:val="single" w:sz="8" w:space="0" w:color="808080"/>
              <w:left w:val="single" w:sz="8" w:space="0" w:color="808080"/>
            </w:tcBorders>
            <w:shd w:val="clear" w:color="auto" w:fill="auto"/>
          </w:tcPr>
          <w:p w:rsidR="00392BC7" w:rsidRPr="00F84E99" w:rsidRDefault="00392BC7" w:rsidP="00392BC7">
            <w:pPr>
              <w:pStyle w:val="Footer"/>
              <w:rPr>
                <w:color w:val="1F497D"/>
                <w:lang/>
              </w:rPr>
            </w:pPr>
            <w:r>
              <w:rPr>
                <w:b/>
                <w:bCs/>
                <w:color w:val="4F81BD"/>
                <w:lang/>
              </w:rPr>
              <w:t>1</w:t>
            </w:r>
            <w:r>
              <w:rPr>
                <w:b/>
                <w:bCs/>
                <w:color w:val="4F81BD"/>
                <w:lang/>
              </w:rPr>
              <w:t>2</w:t>
            </w:r>
            <w:r>
              <w:rPr>
                <w:b/>
                <w:bCs/>
                <w:color w:val="4F81BD"/>
                <w:lang w:val="sr-Cyrl-CS"/>
              </w:rPr>
              <w:t>-1</w:t>
            </w:r>
            <w:r>
              <w:rPr>
                <w:b/>
                <w:bCs/>
                <w:color w:val="4F81BD"/>
                <w:lang w:val="sr-Latn-CS"/>
              </w:rPr>
              <w:t>/</w:t>
            </w:r>
            <w:r>
              <w:rPr>
                <w:b/>
                <w:bCs/>
                <w:color w:val="4F81BD"/>
                <w:lang/>
              </w:rPr>
              <w:t>43</w:t>
            </w:r>
          </w:p>
        </w:tc>
      </w:tr>
    </w:tbl>
    <w:p w:rsidR="00392BC7" w:rsidRDefault="00392BC7" w:rsidP="00392BC7">
      <w:pPr>
        <w:pStyle w:val="Default"/>
        <w:rPr>
          <w:b/>
          <w:color w:val="auto"/>
          <w:sz w:val="22"/>
          <w:szCs w:val="22"/>
          <w:u w:val="single"/>
          <w:lang w:val="ru-RU"/>
        </w:rPr>
      </w:pPr>
    </w:p>
    <w:p w:rsidR="00392BC7" w:rsidRDefault="00392BC7" w:rsidP="00392BC7">
      <w:pPr>
        <w:pStyle w:val="Default"/>
        <w:rPr>
          <w:b/>
          <w:color w:val="auto"/>
          <w:sz w:val="22"/>
          <w:szCs w:val="22"/>
          <w:u w:val="single"/>
          <w:lang w:val="ru-RU"/>
        </w:rPr>
      </w:pPr>
    </w:p>
    <w:p w:rsidR="00392BC7" w:rsidRPr="00AC1566" w:rsidRDefault="00392BC7" w:rsidP="00392BC7">
      <w:pPr>
        <w:pStyle w:val="Default"/>
        <w:rPr>
          <w:color w:val="auto"/>
          <w:sz w:val="22"/>
          <w:szCs w:val="22"/>
          <w:lang w:val="ru-RU"/>
        </w:rPr>
      </w:pPr>
      <w:r w:rsidRPr="00AC1566">
        <w:rPr>
          <w:b/>
          <w:color w:val="auto"/>
          <w:sz w:val="22"/>
          <w:szCs w:val="22"/>
          <w:u w:val="single"/>
          <w:lang w:val="ru-RU"/>
        </w:rPr>
        <w:t>којима су докази објављени, на меморандуму фирме који мора бити оверен и потписан од стране овлашћеног лица.</w:t>
      </w:r>
      <w:r w:rsidRPr="00AC1566">
        <w:rPr>
          <w:b/>
          <w:color w:val="auto"/>
          <w:sz w:val="22"/>
          <w:szCs w:val="22"/>
          <w:lang w:val="ru-RU"/>
        </w:rPr>
        <w:t>Уколико понуђач наступа са подиспоручиоцем</w:t>
      </w:r>
      <w:r w:rsidRPr="00AC1566">
        <w:rPr>
          <w:color w:val="auto"/>
          <w:sz w:val="22"/>
          <w:szCs w:val="22"/>
          <w:lang w:val="ru-RU"/>
        </w:rPr>
        <w:t xml:space="preserve">, дужан је да за подиспоручиоца достави доказе о испуњености обавезних услова,као и доказ о успостављању  система за осигурање безбедности хране </w:t>
      </w:r>
      <w:r w:rsidRPr="00AC1566">
        <w:rPr>
          <w:color w:val="auto"/>
          <w:sz w:val="22"/>
          <w:szCs w:val="22"/>
          <w:lang w:val="sr-Latn-CS"/>
        </w:rPr>
        <w:t>(HАCCР)</w:t>
      </w:r>
      <w:r w:rsidRPr="00AC1566">
        <w:rPr>
          <w:color w:val="auto"/>
          <w:sz w:val="22"/>
          <w:szCs w:val="22"/>
        </w:rPr>
        <w:t xml:space="preserve"> уколико Законом није предвиђено другачије</w:t>
      </w:r>
      <w:r w:rsidRPr="00AC1566">
        <w:rPr>
          <w:color w:val="auto"/>
          <w:sz w:val="22"/>
          <w:szCs w:val="22"/>
          <w:lang w:val="sr-Cyrl-CS"/>
        </w:rPr>
        <w:t>,у складу са конкурсном документацијом.</w:t>
      </w:r>
      <w:r w:rsidRPr="00AC1566">
        <w:rPr>
          <w:color w:val="auto"/>
          <w:sz w:val="22"/>
          <w:szCs w:val="22"/>
          <w:lang w:val="ru-RU"/>
        </w:rPr>
        <w:t xml:space="preserve">  </w:t>
      </w:r>
    </w:p>
    <w:p w:rsidR="00392BC7" w:rsidRPr="00AC1566" w:rsidRDefault="00392BC7" w:rsidP="00392BC7">
      <w:pPr>
        <w:pStyle w:val="Default"/>
        <w:rPr>
          <w:color w:val="auto"/>
          <w:sz w:val="22"/>
          <w:szCs w:val="22"/>
          <w:lang w:val="ru-RU"/>
        </w:rPr>
      </w:pPr>
      <w:r w:rsidRPr="00AC1566">
        <w:rPr>
          <w:b/>
          <w:color w:val="auto"/>
          <w:sz w:val="22"/>
          <w:szCs w:val="22"/>
          <w:lang w:val="ru-RU"/>
        </w:rPr>
        <w:t>У случају подношења заједничке понуде групе понуђача</w:t>
      </w:r>
      <w:r w:rsidRPr="00AC1566">
        <w:rPr>
          <w:color w:val="auto"/>
          <w:sz w:val="22"/>
          <w:szCs w:val="22"/>
          <w:lang w:val="ru-RU"/>
        </w:rPr>
        <w:t xml:space="preserve">, сваки понуђач из групе понуђача мора да испуни обавезне услове, док додатне услове испуњавају заједно.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r w:rsidRPr="00AC1566">
        <w:rPr>
          <w:color w:val="auto"/>
          <w:sz w:val="22"/>
          <w:szCs w:val="22"/>
          <w:lang w:val="sr-Latn-CS"/>
        </w:rPr>
        <w:t>A</w:t>
      </w:r>
      <w:r w:rsidRPr="00AC1566">
        <w:rPr>
          <w:color w:val="auto"/>
          <w:sz w:val="22"/>
          <w:szCs w:val="22"/>
          <w:lang w:val="ru-RU"/>
        </w:rPr>
        <w:t xml:space="preserve">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92BC7" w:rsidRPr="009F1A8B" w:rsidRDefault="00392BC7" w:rsidP="00392BC7">
      <w:pPr>
        <w:pStyle w:val="Default"/>
        <w:rPr>
          <w:color w:val="auto"/>
          <w:sz w:val="22"/>
          <w:szCs w:val="22"/>
          <w:lang w:val="ru-RU"/>
        </w:rPr>
      </w:pPr>
      <w:r w:rsidRPr="00AC1566">
        <w:rPr>
          <w:color w:val="auto"/>
          <w:sz w:val="22"/>
          <w:szCs w:val="22"/>
          <w:lang w:val="ru-RU"/>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r w:rsidRPr="009F1A8B">
        <w:rPr>
          <w:color w:val="auto"/>
          <w:sz w:val="22"/>
          <w:szCs w:val="22"/>
          <w:lang w:val="ru-RU"/>
        </w:rPr>
        <w:t xml:space="preserve"> </w:t>
      </w:r>
    </w:p>
    <w:p w:rsidR="00F84E99" w:rsidRPr="00AC1566" w:rsidRDefault="00F84E99" w:rsidP="00F84E99">
      <w:pPr>
        <w:shd w:val="clear" w:color="auto" w:fill="C6D9F1"/>
        <w:jc w:val="center"/>
        <w:rPr>
          <w:b/>
          <w:bCs/>
          <w:iCs/>
          <w:sz w:val="28"/>
          <w:szCs w:val="28"/>
          <w:lang/>
        </w:rPr>
      </w:pPr>
      <w:r w:rsidRPr="00AC1566">
        <w:rPr>
          <w:b/>
          <w:bCs/>
          <w:iCs/>
          <w:sz w:val="28"/>
          <w:szCs w:val="28"/>
          <w:lang/>
        </w:rPr>
        <w:t>V</w:t>
      </w:r>
      <w:r w:rsidRPr="00AC1566">
        <w:rPr>
          <w:b/>
          <w:bCs/>
          <w:iCs/>
          <w:sz w:val="28"/>
          <w:szCs w:val="28"/>
          <w:lang w:val="ru-RU"/>
        </w:rPr>
        <w:t xml:space="preserve">  </w:t>
      </w:r>
      <w:r w:rsidRPr="00AC1566">
        <w:rPr>
          <w:b/>
          <w:bCs/>
          <w:iCs/>
          <w:sz w:val="28"/>
          <w:szCs w:val="28"/>
          <w:lang/>
        </w:rPr>
        <w:t>КРИТЕРИЈУМИ ЗА ДОДЕЛУ УГОВОРА</w:t>
      </w:r>
    </w:p>
    <w:p w:rsidR="00F84E99" w:rsidRPr="005C5C0B" w:rsidRDefault="00F84E99" w:rsidP="00F84E99">
      <w:pPr>
        <w:jc w:val="both"/>
        <w:rPr>
          <w:sz w:val="22"/>
          <w:szCs w:val="22"/>
          <w:lang/>
        </w:rPr>
      </w:pPr>
      <w:r w:rsidRPr="005C5C0B">
        <w:rPr>
          <w:b/>
          <w:bCs/>
          <w:sz w:val="22"/>
          <w:szCs w:val="22"/>
          <w:lang w:val="sr-Latn-CS"/>
        </w:rPr>
        <w:t>I</w:t>
      </w:r>
      <w:r w:rsidRPr="005C5C0B">
        <w:rPr>
          <w:b/>
          <w:bCs/>
          <w:sz w:val="22"/>
          <w:szCs w:val="22"/>
          <w:lang/>
        </w:rPr>
        <w:t xml:space="preserve"> </w:t>
      </w:r>
      <w:r w:rsidRPr="005C5C0B">
        <w:rPr>
          <w:b/>
          <w:bCs/>
          <w:sz w:val="22"/>
          <w:szCs w:val="22"/>
        </w:rPr>
        <w:t>Критеријум за доделу уговора</w:t>
      </w:r>
    </w:p>
    <w:p w:rsidR="00F84E99" w:rsidRPr="005C5C0B" w:rsidRDefault="00F84E99" w:rsidP="00F84E99">
      <w:pPr>
        <w:jc w:val="both"/>
        <w:rPr>
          <w:sz w:val="22"/>
          <w:szCs w:val="22"/>
          <w:lang w:val="sr-Cyrl-CS"/>
        </w:rPr>
      </w:pPr>
      <w:r w:rsidRPr="005C5C0B">
        <w:rPr>
          <w:sz w:val="22"/>
          <w:szCs w:val="22"/>
        </w:rPr>
        <w:t xml:space="preserve">Избор најповољније понуде ће се извршити применом критеријума </w:t>
      </w:r>
      <w:r w:rsidRPr="005C5C0B">
        <w:rPr>
          <w:b/>
          <w:bCs/>
          <w:sz w:val="22"/>
          <w:szCs w:val="22"/>
        </w:rPr>
        <w:t>„</w:t>
      </w:r>
      <w:r w:rsidRPr="005C5C0B">
        <w:rPr>
          <w:b/>
          <w:bCs/>
          <w:sz w:val="22"/>
          <w:szCs w:val="22"/>
          <w:lang w:val="sr-Cyrl-CS"/>
        </w:rPr>
        <w:t>Економски најповољнија понуда</w:t>
      </w:r>
      <w:r w:rsidRPr="005C5C0B">
        <w:rPr>
          <w:b/>
          <w:bCs/>
          <w:sz w:val="22"/>
          <w:szCs w:val="22"/>
        </w:rPr>
        <w:t>“</w:t>
      </w:r>
      <w:r w:rsidRPr="005C5C0B">
        <w:rPr>
          <w:b/>
          <w:bCs/>
          <w:sz w:val="22"/>
          <w:szCs w:val="22"/>
          <w:lang w:val="sr-Cyrl-CS"/>
        </w:rPr>
        <w:t>,</w:t>
      </w:r>
      <w:r w:rsidRPr="005C5C0B">
        <w:rPr>
          <w:sz w:val="22"/>
          <w:szCs w:val="22"/>
          <w:lang w:val="sr-Latn-CS"/>
        </w:rPr>
        <w:t xml:space="preserve"> </w:t>
      </w:r>
      <w:r w:rsidRPr="005C5C0B">
        <w:rPr>
          <w:sz w:val="22"/>
          <w:szCs w:val="22"/>
          <w:lang w:val="ru-RU"/>
        </w:rPr>
        <w:t>а</w:t>
      </w:r>
      <w:r w:rsidRPr="005C5C0B">
        <w:rPr>
          <w:sz w:val="22"/>
          <w:szCs w:val="22"/>
          <w:lang w:val="sr-Latn-CS"/>
        </w:rPr>
        <w:t xml:space="preserve"> </w:t>
      </w:r>
      <w:r w:rsidRPr="005C5C0B">
        <w:rPr>
          <w:sz w:val="22"/>
          <w:szCs w:val="22"/>
          <w:lang w:val="ru-RU"/>
        </w:rPr>
        <w:t>елементи</w:t>
      </w:r>
      <w:r w:rsidRPr="005C5C0B">
        <w:rPr>
          <w:sz w:val="22"/>
          <w:szCs w:val="22"/>
          <w:lang w:val="sr-Latn-CS"/>
        </w:rPr>
        <w:t xml:space="preserve"> </w:t>
      </w:r>
      <w:r w:rsidRPr="005C5C0B">
        <w:rPr>
          <w:sz w:val="22"/>
          <w:szCs w:val="22"/>
          <w:lang w:val="ru-RU"/>
        </w:rPr>
        <w:t>критеријума</w:t>
      </w:r>
      <w:r w:rsidRPr="005C5C0B">
        <w:rPr>
          <w:sz w:val="22"/>
          <w:szCs w:val="22"/>
          <w:lang w:val="sr-Latn-CS"/>
        </w:rPr>
        <w:t xml:space="preserve"> </w:t>
      </w:r>
      <w:r w:rsidRPr="005C5C0B">
        <w:rPr>
          <w:sz w:val="22"/>
          <w:szCs w:val="22"/>
          <w:lang w:val="ru-RU"/>
        </w:rPr>
        <w:t>су</w:t>
      </w:r>
      <w:r w:rsidRPr="005C5C0B">
        <w:rPr>
          <w:sz w:val="22"/>
          <w:szCs w:val="22"/>
          <w:lang w:val="sr-Latn-CS"/>
        </w:rPr>
        <w:t xml:space="preserve">: </w:t>
      </w:r>
    </w:p>
    <w:p w:rsidR="00F84E99" w:rsidRPr="005C5C0B" w:rsidRDefault="00F84E99" w:rsidP="00F84E99">
      <w:pPr>
        <w:rPr>
          <w:sz w:val="22"/>
          <w:szCs w:val="22"/>
          <w:lang w:val="sr-Cyrl-CS"/>
        </w:rPr>
      </w:pPr>
      <w:r w:rsidRPr="005C5C0B">
        <w:rPr>
          <w:b/>
          <w:sz w:val="22"/>
          <w:szCs w:val="22"/>
          <w:lang w:val="sr-Cyrl-CS"/>
        </w:rPr>
        <w:t xml:space="preserve">1. Понуђена цена:                                                                                             </w:t>
      </w:r>
      <w:r w:rsidRPr="005C5C0B">
        <w:rPr>
          <w:b/>
          <w:sz w:val="22"/>
          <w:szCs w:val="22"/>
          <w:lang w:val="ru-RU"/>
        </w:rPr>
        <w:t xml:space="preserve">        </w:t>
      </w:r>
      <w:r w:rsidRPr="005C5C0B">
        <w:rPr>
          <w:b/>
          <w:sz w:val="22"/>
          <w:szCs w:val="22"/>
          <w:lang w:val="sr-Cyrl-CS"/>
        </w:rPr>
        <w:t xml:space="preserve">                              80 пондера</w:t>
      </w:r>
    </w:p>
    <w:p w:rsidR="00F84E99" w:rsidRPr="005C5C0B" w:rsidRDefault="00F84E99" w:rsidP="00F84E99">
      <w:pPr>
        <w:pStyle w:val="ListParagraph"/>
        <w:ind w:left="0"/>
        <w:rPr>
          <w:noProof/>
          <w:color w:val="auto"/>
          <w:sz w:val="22"/>
          <w:szCs w:val="22"/>
          <w:lang w:val="sr-Cyrl-CS"/>
        </w:rPr>
      </w:pPr>
      <w:r w:rsidRPr="005C5C0B">
        <w:rPr>
          <w:noProof/>
          <w:color w:val="auto"/>
          <w:sz w:val="22"/>
          <w:szCs w:val="22"/>
          <w:lang w:val="sr-Cyrl-CS"/>
        </w:rPr>
        <w:t>-за понуђену цену број бодова се утврђује по обрасцу  Бц</w:t>
      </w:r>
      <w:r w:rsidRPr="005C5C0B">
        <w:rPr>
          <w:noProof/>
          <w:color w:val="auto"/>
          <w:sz w:val="22"/>
          <w:szCs w:val="22"/>
          <w:lang w:val="sr-Latn-CS"/>
        </w:rPr>
        <w:t>=</w:t>
      </w:r>
      <w:r w:rsidRPr="005C5C0B">
        <w:rPr>
          <w:noProof/>
          <w:color w:val="auto"/>
          <w:sz w:val="22"/>
          <w:szCs w:val="22"/>
          <w:lang w:val="sr-Cyrl-CS"/>
        </w:rPr>
        <w:t xml:space="preserve"> 80</w:t>
      </w:r>
      <w:r w:rsidRPr="005C5C0B">
        <w:rPr>
          <w:noProof/>
          <w:color w:val="auto"/>
          <w:sz w:val="22"/>
          <w:szCs w:val="22"/>
          <w:lang w:val="sr-Latn-CS"/>
        </w:rPr>
        <w:t xml:space="preserve"> X </w:t>
      </w:r>
      <w:r w:rsidRPr="005C5C0B">
        <w:rPr>
          <w:noProof/>
          <w:color w:val="auto"/>
          <w:sz w:val="22"/>
          <w:szCs w:val="22"/>
          <w:lang w:val="sr-Cyrl-CS"/>
        </w:rPr>
        <w:t xml:space="preserve">Ц мин/ Ц понуђ.( Ц мин.-најмања понуђена реална цена, Ц </w:t>
      </w:r>
      <w:r>
        <w:rPr>
          <w:noProof/>
          <w:color w:val="auto"/>
          <w:sz w:val="22"/>
          <w:szCs w:val="22"/>
          <w:lang w:val="sr-Cyrl-CS"/>
        </w:rPr>
        <w:t>понуђ.</w:t>
      </w:r>
      <w:r w:rsidRPr="005C5C0B">
        <w:rPr>
          <w:noProof/>
          <w:color w:val="auto"/>
          <w:sz w:val="22"/>
          <w:szCs w:val="22"/>
          <w:lang w:val="sr-Cyrl-CS"/>
        </w:rPr>
        <w:t>– понуђена цена)</w:t>
      </w:r>
    </w:p>
    <w:p w:rsidR="00F84E99" w:rsidRPr="005C5C0B" w:rsidRDefault="00F84E99" w:rsidP="00F84E99">
      <w:pPr>
        <w:pStyle w:val="ListParagraph"/>
        <w:ind w:left="0"/>
        <w:rPr>
          <w:b/>
          <w:noProof/>
          <w:color w:val="auto"/>
          <w:sz w:val="22"/>
          <w:szCs w:val="22"/>
          <w:lang w:val="sr-Cyrl-CS"/>
        </w:rPr>
      </w:pPr>
      <w:r w:rsidRPr="005C5C0B">
        <w:rPr>
          <w:b/>
          <w:color w:val="auto"/>
          <w:sz w:val="22"/>
          <w:szCs w:val="22"/>
          <w:lang w:val="ru-RU"/>
        </w:rPr>
        <w:t>2. Рок испоруке добара :</w:t>
      </w:r>
      <w:r w:rsidRPr="005C5C0B">
        <w:rPr>
          <w:b/>
          <w:noProof/>
          <w:color w:val="auto"/>
          <w:sz w:val="22"/>
          <w:szCs w:val="22"/>
          <w:lang w:val="sr-Cyrl-CS"/>
        </w:rPr>
        <w:t xml:space="preserve"> </w:t>
      </w:r>
    </w:p>
    <w:p w:rsidR="00F84E99" w:rsidRPr="00A8074B" w:rsidRDefault="00F84E99" w:rsidP="00F84E99">
      <w:pPr>
        <w:pStyle w:val="Default"/>
        <w:jc w:val="both"/>
        <w:rPr>
          <w:color w:val="auto"/>
          <w:sz w:val="22"/>
          <w:szCs w:val="22"/>
          <w:highlight w:val="yellow"/>
          <w:lang w:val="ru-RU"/>
        </w:rPr>
      </w:pPr>
      <w:r w:rsidRPr="00A8074B">
        <w:rPr>
          <w:color w:val="auto"/>
          <w:sz w:val="22"/>
          <w:szCs w:val="22"/>
          <w:highlight w:val="yellow"/>
          <w:lang w:val="ru-RU"/>
        </w:rPr>
        <w:t xml:space="preserve">До </w:t>
      </w:r>
      <w:r w:rsidRPr="00A8074B">
        <w:rPr>
          <w:color w:val="auto"/>
          <w:sz w:val="22"/>
          <w:szCs w:val="22"/>
          <w:highlight w:val="yellow"/>
          <w:lang/>
        </w:rPr>
        <w:t>12</w:t>
      </w:r>
      <w:r w:rsidRPr="00A8074B">
        <w:rPr>
          <w:color w:val="auto"/>
          <w:sz w:val="22"/>
          <w:szCs w:val="22"/>
          <w:highlight w:val="yellow"/>
          <w:lang w:val="ru-RU"/>
        </w:rPr>
        <w:t xml:space="preserve"> </w:t>
      </w:r>
      <w:r w:rsidRPr="00A8074B">
        <w:rPr>
          <w:color w:val="auto"/>
          <w:sz w:val="22"/>
          <w:szCs w:val="22"/>
          <w:highlight w:val="yellow"/>
          <w:lang/>
        </w:rPr>
        <w:t>сати</w:t>
      </w:r>
      <w:r w:rsidRPr="00A8074B">
        <w:rPr>
          <w:color w:val="auto"/>
          <w:sz w:val="22"/>
          <w:szCs w:val="22"/>
          <w:highlight w:val="yellow"/>
          <w:lang w:val="ru-RU"/>
        </w:rPr>
        <w:t xml:space="preserve"> од  пријема поруџбине – 20 пондера</w:t>
      </w:r>
    </w:p>
    <w:p w:rsidR="00F84E99" w:rsidRPr="005C5C0B" w:rsidRDefault="00F84E99" w:rsidP="00F84E99">
      <w:pPr>
        <w:pStyle w:val="Default"/>
        <w:jc w:val="both"/>
        <w:rPr>
          <w:color w:val="auto"/>
          <w:sz w:val="22"/>
          <w:szCs w:val="22"/>
          <w:lang w:val="ru-RU"/>
        </w:rPr>
      </w:pPr>
      <w:r w:rsidRPr="00A8074B">
        <w:rPr>
          <w:color w:val="auto"/>
          <w:sz w:val="22"/>
          <w:szCs w:val="22"/>
          <w:highlight w:val="yellow"/>
          <w:lang/>
        </w:rPr>
        <w:t>До</w:t>
      </w:r>
      <w:r w:rsidRPr="00A8074B">
        <w:rPr>
          <w:color w:val="auto"/>
          <w:sz w:val="22"/>
          <w:szCs w:val="22"/>
          <w:highlight w:val="yellow"/>
          <w:lang w:val="ru-RU"/>
        </w:rPr>
        <w:t xml:space="preserve"> 24 </w:t>
      </w:r>
      <w:r w:rsidRPr="00A8074B">
        <w:rPr>
          <w:color w:val="auto"/>
          <w:sz w:val="22"/>
          <w:szCs w:val="22"/>
          <w:highlight w:val="yellow"/>
          <w:lang/>
        </w:rPr>
        <w:t>ча</w:t>
      </w:r>
      <w:r w:rsidRPr="00A8074B">
        <w:rPr>
          <w:color w:val="auto"/>
          <w:sz w:val="22"/>
          <w:szCs w:val="22"/>
          <w:highlight w:val="yellow"/>
          <w:lang w:val="ru-RU"/>
        </w:rPr>
        <w:t>сова од пријема поруџбине – 0 пондера</w:t>
      </w:r>
    </w:p>
    <w:p w:rsidR="00F84E99" w:rsidRPr="005C5C0B" w:rsidRDefault="00F84E99" w:rsidP="00F84E99">
      <w:pPr>
        <w:jc w:val="both"/>
        <w:rPr>
          <w:b/>
          <w:bCs/>
          <w:i/>
          <w:iCs/>
          <w:sz w:val="22"/>
          <w:szCs w:val="22"/>
        </w:rPr>
      </w:pPr>
      <w:r w:rsidRPr="005C5C0B">
        <w:rPr>
          <w:b/>
          <w:bCs/>
          <w:sz w:val="22"/>
          <w:szCs w:val="22"/>
          <w:lang w:val="sr-Latn-CS"/>
        </w:rPr>
        <w:t>II</w:t>
      </w:r>
      <w:r w:rsidRPr="005C5C0B">
        <w:rPr>
          <w:b/>
          <w:bCs/>
          <w:i/>
          <w:iCs/>
          <w:sz w:val="22"/>
          <w:szCs w:val="22"/>
          <w:lang w:val="sr-Cyrl-CS"/>
        </w:rPr>
        <w:t xml:space="preserve"> </w:t>
      </w:r>
      <w:r w:rsidRPr="005C5C0B">
        <w:rPr>
          <w:b/>
          <w:bCs/>
          <w:sz w:val="22"/>
          <w:szCs w:val="22"/>
          <w:lang/>
        </w:rPr>
        <w:t>Е</w:t>
      </w:r>
      <w:r w:rsidRPr="005C5C0B">
        <w:rPr>
          <w:b/>
          <w:bCs/>
          <w:sz w:val="22"/>
          <w:szCs w:val="22"/>
        </w:rPr>
        <w:t>лементи критеријума</w:t>
      </w:r>
      <w:r w:rsidRPr="005C5C0B">
        <w:rPr>
          <w:b/>
          <w:bCs/>
          <w:sz w:val="22"/>
          <w:szCs w:val="22"/>
          <w:lang/>
        </w:rPr>
        <w:t>, односно начин,</w:t>
      </w:r>
      <w:r w:rsidRPr="005C5C0B">
        <w:rPr>
          <w:b/>
          <w:bCs/>
          <w:sz w:val="22"/>
          <w:szCs w:val="22"/>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84E99" w:rsidRPr="005C5C0B" w:rsidRDefault="00F84E99" w:rsidP="00F84E99">
      <w:pPr>
        <w:rPr>
          <w:sz w:val="22"/>
          <w:szCs w:val="22"/>
          <w:lang w:val="sr-Cyrl-CS"/>
        </w:rPr>
      </w:pPr>
      <w:r w:rsidRPr="005C5C0B">
        <w:rPr>
          <w:sz w:val="22"/>
          <w:szCs w:val="22"/>
          <w:lang w:val="sr-Cyrl-CS"/>
        </w:rPr>
        <w:t>У ситуацији када постоје две или више понуда са једнаким бројем пондера</w:t>
      </w:r>
      <w:r w:rsidRPr="005C5C0B">
        <w:rPr>
          <w:sz w:val="22"/>
          <w:szCs w:val="22"/>
          <w:lang w:val="ru-RU"/>
        </w:rPr>
        <w:t xml:space="preserve">, </w:t>
      </w:r>
      <w:r w:rsidRPr="005C5C0B">
        <w:rPr>
          <w:sz w:val="22"/>
          <w:szCs w:val="22"/>
          <w:lang w:val="sr-Cyrl-CS"/>
        </w:rPr>
        <w:t xml:space="preserve">наручилац ће доделити уговор применом елемента критеријума – </w:t>
      </w:r>
      <w:r w:rsidRPr="005C5C0B">
        <w:rPr>
          <w:b/>
          <w:sz w:val="22"/>
          <w:szCs w:val="22"/>
          <w:lang w:val="sr-Cyrl-CS"/>
        </w:rPr>
        <w:t>понуђена цена</w:t>
      </w:r>
      <w:r w:rsidRPr="005C5C0B">
        <w:rPr>
          <w:sz w:val="22"/>
          <w:szCs w:val="22"/>
          <w:lang w:val="sr-Cyrl-CS"/>
        </w:rPr>
        <w:t>, односно уговор ће бити додељен понуђачу који је понудио нижу цену.</w:t>
      </w:r>
    </w:p>
    <w:p w:rsidR="00F84E99" w:rsidRPr="005C5C0B" w:rsidRDefault="00F84E99" w:rsidP="00F84E99">
      <w:pPr>
        <w:jc w:val="both"/>
        <w:rPr>
          <w:sz w:val="22"/>
          <w:szCs w:val="22"/>
          <w:lang/>
        </w:rPr>
      </w:pPr>
      <w:r w:rsidRPr="005C5C0B">
        <w:rPr>
          <w:sz w:val="22"/>
          <w:szCs w:val="22"/>
          <w:lang w:val="ru-RU"/>
        </w:rPr>
        <w:t xml:space="preserve">У случају прибављања две или више понуда са истом понуђеном ценом, </w:t>
      </w:r>
      <w:r w:rsidRPr="005C5C0B">
        <w:rPr>
          <w:sz w:val="22"/>
          <w:szCs w:val="22"/>
          <w:lang/>
        </w:rPr>
        <w:t xml:space="preserve">уговор ће бити додељен </w:t>
      </w:r>
      <w:r w:rsidRPr="005C5C0B">
        <w:rPr>
          <w:sz w:val="22"/>
          <w:szCs w:val="22"/>
          <w:lang w:val="ru-RU"/>
        </w:rPr>
        <w:t>оно</w:t>
      </w:r>
      <w:r w:rsidRPr="005C5C0B">
        <w:rPr>
          <w:sz w:val="22"/>
          <w:szCs w:val="22"/>
          <w:lang/>
        </w:rPr>
        <w:t>м</w:t>
      </w:r>
      <w:r w:rsidRPr="005C5C0B">
        <w:rPr>
          <w:sz w:val="22"/>
          <w:szCs w:val="22"/>
          <w:lang w:val="ru-RU"/>
        </w:rPr>
        <w:t xml:space="preserve"> понуђач</w:t>
      </w:r>
      <w:r w:rsidRPr="005C5C0B">
        <w:rPr>
          <w:sz w:val="22"/>
          <w:szCs w:val="22"/>
          <w:lang/>
        </w:rPr>
        <w:t xml:space="preserve">у чија је </w:t>
      </w:r>
      <w:r w:rsidRPr="005C5C0B">
        <w:rPr>
          <w:b/>
          <w:sz w:val="22"/>
          <w:szCs w:val="22"/>
          <w:lang/>
        </w:rPr>
        <w:t xml:space="preserve">понуда </w:t>
      </w:r>
      <w:r>
        <w:rPr>
          <w:b/>
          <w:sz w:val="22"/>
          <w:szCs w:val="22"/>
          <w:lang/>
        </w:rPr>
        <w:t>са дужим роком важења.</w:t>
      </w:r>
      <w:r w:rsidRPr="005C5C0B">
        <w:rPr>
          <w:sz w:val="22"/>
          <w:szCs w:val="22"/>
          <w:lang/>
        </w:rPr>
        <w:t>.</w:t>
      </w:r>
    </w:p>
    <w:p w:rsidR="00360EE1" w:rsidRDefault="00360EE1" w:rsidP="00091FAF">
      <w:pPr>
        <w:ind w:left="2832" w:right="-426" w:firstLine="708"/>
        <w:jc w:val="center"/>
        <w:rPr>
          <w:b/>
          <w:lang/>
        </w:rPr>
      </w:pPr>
    </w:p>
    <w:p w:rsidR="00F84E99" w:rsidRPr="00F84E99" w:rsidRDefault="00F84E99" w:rsidP="00091FAF">
      <w:pPr>
        <w:ind w:left="2832" w:right="-426" w:firstLine="708"/>
        <w:jc w:val="center"/>
        <w:rPr>
          <w:b/>
          <w:lang/>
        </w:rPr>
      </w:pPr>
    </w:p>
    <w:p w:rsidR="0055100A" w:rsidRPr="0055100A" w:rsidRDefault="0055100A" w:rsidP="00091FAF">
      <w:pPr>
        <w:rPr>
          <w:sz w:val="8"/>
          <w:szCs w:val="8"/>
          <w:lang w:val="sr-Latn-CS"/>
        </w:rPr>
      </w:pPr>
    </w:p>
    <w:p w:rsidR="00091FAF" w:rsidRDefault="00091FAF" w:rsidP="00091FAF">
      <w:pPr>
        <w:rPr>
          <w:sz w:val="8"/>
          <w:szCs w:val="8"/>
          <w:lang w:val="sr-Cyrl-CS"/>
        </w:rPr>
      </w:pPr>
    </w:p>
    <w:p w:rsidR="00091FAF" w:rsidRDefault="00091FAF" w:rsidP="00091FAF">
      <w:pPr>
        <w:rPr>
          <w:sz w:val="8"/>
          <w:szCs w:val="8"/>
          <w:lang w:val="sr-Cyrl-CS"/>
        </w:rPr>
      </w:pPr>
    </w:p>
    <w:p w:rsidR="00252792" w:rsidRDefault="00252792" w:rsidP="00091FAF">
      <w:pPr>
        <w:rPr>
          <w:sz w:val="8"/>
          <w:szCs w:val="8"/>
          <w:lang w:val="sr-Cyrl-CS"/>
        </w:rPr>
      </w:pPr>
    </w:p>
    <w:p w:rsidR="00252792" w:rsidRDefault="00252792" w:rsidP="00091FAF">
      <w:pPr>
        <w:rPr>
          <w:sz w:val="8"/>
          <w:szCs w:val="8"/>
          <w:lang w:val="sr-Cyrl-CS"/>
        </w:rPr>
      </w:pPr>
    </w:p>
    <w:p w:rsidR="00B013E1" w:rsidRDefault="00B013E1" w:rsidP="00091FAF">
      <w:pPr>
        <w:rPr>
          <w:sz w:val="8"/>
          <w:szCs w:val="8"/>
          <w:lang w:val="sr-Cyrl-CS"/>
        </w:rPr>
      </w:pPr>
    </w:p>
    <w:p w:rsidR="00B013E1" w:rsidRDefault="00B013E1" w:rsidP="00091FAF">
      <w:pPr>
        <w:rPr>
          <w:sz w:val="8"/>
          <w:szCs w:val="8"/>
          <w:lang w:val="sr-Cyrl-CS"/>
        </w:rPr>
      </w:pPr>
    </w:p>
    <w:p w:rsidR="00B013E1" w:rsidRDefault="00B013E1" w:rsidP="00091FAF">
      <w:pPr>
        <w:rPr>
          <w:sz w:val="8"/>
          <w:szCs w:val="8"/>
          <w:lang w:val="sr-Cyrl-CS"/>
        </w:rPr>
      </w:pPr>
    </w:p>
    <w:p w:rsidR="00091FAF" w:rsidRDefault="00091FAF" w:rsidP="00091FAF">
      <w:pPr>
        <w:rPr>
          <w:sz w:val="8"/>
          <w:szCs w:val="8"/>
          <w:lang w:val="sr-Cyrl-CS"/>
        </w:rPr>
      </w:pPr>
    </w:p>
    <w:p w:rsidR="00A555BA" w:rsidRDefault="00A555BA" w:rsidP="00091FAF">
      <w:pPr>
        <w:rPr>
          <w:sz w:val="8"/>
          <w:szCs w:val="8"/>
          <w:lang w:val="sr-Cyrl-CS"/>
        </w:rPr>
      </w:pPr>
    </w:p>
    <w:p w:rsidR="00A555BA" w:rsidRDefault="00A555BA" w:rsidP="00091FAF">
      <w:pPr>
        <w:rPr>
          <w:sz w:val="8"/>
          <w:szCs w:val="8"/>
          <w:lang w:val="sr-Cyrl-CS"/>
        </w:rPr>
      </w:pPr>
    </w:p>
    <w:tbl>
      <w:tblPr>
        <w:tblW w:w="9242" w:type="dxa"/>
        <w:tblLayout w:type="fixed"/>
        <w:tblLook w:val="0000"/>
      </w:tblPr>
      <w:tblGrid>
        <w:gridCol w:w="8208"/>
        <w:gridCol w:w="1034"/>
      </w:tblGrid>
      <w:tr w:rsidR="00091FAF" w:rsidTr="00AB2183">
        <w:tc>
          <w:tcPr>
            <w:tcW w:w="8208" w:type="dxa"/>
            <w:tcBorders>
              <w:top w:val="single" w:sz="8" w:space="0" w:color="808080"/>
            </w:tcBorders>
            <w:shd w:val="clear" w:color="auto" w:fill="auto"/>
          </w:tcPr>
          <w:p w:rsidR="00091FAF" w:rsidRPr="00F84E99" w:rsidRDefault="00091FAF" w:rsidP="00F84E99">
            <w:pPr>
              <w:pStyle w:val="Footer"/>
              <w:jc w:val="right"/>
              <w:rPr>
                <w:b/>
                <w:bCs/>
                <w:color w:val="4F81BD"/>
                <w:lang/>
              </w:rPr>
            </w:pPr>
            <w:r>
              <w:rPr>
                <w:b/>
                <w:bCs/>
                <w:color w:val="4F81BD"/>
                <w:lang/>
              </w:rPr>
              <w:t xml:space="preserve">Конкурсна документација </w:t>
            </w:r>
            <w:r w:rsidR="00F84E99">
              <w:rPr>
                <w:b/>
                <w:bCs/>
                <w:color w:val="4F81BD"/>
                <w:lang/>
              </w:rPr>
              <w:t>у отвореном поступку</w:t>
            </w:r>
            <w:r>
              <w:rPr>
                <w:b/>
                <w:bCs/>
                <w:color w:val="4F81BD"/>
                <w:lang/>
              </w:rPr>
              <w:t xml:space="preserve"> ЈН бр.</w:t>
            </w:r>
            <w:r>
              <w:rPr>
                <w:b/>
                <w:bCs/>
                <w:color w:val="4F81BD"/>
                <w:lang w:val="sr-Cyrl-CS"/>
              </w:rPr>
              <w:t>1/201</w:t>
            </w:r>
            <w:r w:rsidR="00F84E99">
              <w:rPr>
                <w:b/>
                <w:bCs/>
                <w:color w:val="4F81BD"/>
                <w:lang/>
              </w:rPr>
              <w:t>8</w:t>
            </w:r>
            <w:r>
              <w:rPr>
                <w:b/>
                <w:bCs/>
                <w:color w:val="4F81BD"/>
                <w:lang w:val="sr-Cyrl-CS"/>
              </w:rPr>
              <w:t xml:space="preserve"> </w:t>
            </w:r>
            <w:r w:rsidR="00F84E99">
              <w:rPr>
                <w:b/>
                <w:bCs/>
                <w:color w:val="4F81BD"/>
                <w:lang/>
              </w:rPr>
              <w:t>ОП</w:t>
            </w:r>
          </w:p>
        </w:tc>
        <w:tc>
          <w:tcPr>
            <w:tcW w:w="1034" w:type="dxa"/>
            <w:tcBorders>
              <w:top w:val="single" w:sz="8" w:space="0" w:color="808080"/>
              <w:left w:val="single" w:sz="8" w:space="0" w:color="808080"/>
            </w:tcBorders>
            <w:shd w:val="clear" w:color="auto" w:fill="auto"/>
          </w:tcPr>
          <w:p w:rsidR="00091FAF" w:rsidRPr="00F84E99" w:rsidRDefault="00F84E99" w:rsidP="00F84E99">
            <w:pPr>
              <w:pStyle w:val="Footer"/>
              <w:rPr>
                <w:color w:val="1F497D"/>
                <w:lang/>
              </w:rPr>
            </w:pPr>
            <w:r>
              <w:rPr>
                <w:b/>
                <w:bCs/>
                <w:color w:val="4F81BD"/>
                <w:lang/>
              </w:rPr>
              <w:t>13</w:t>
            </w:r>
            <w:r w:rsidR="00120AFE">
              <w:rPr>
                <w:b/>
                <w:bCs/>
                <w:color w:val="4F81BD"/>
                <w:lang w:val="sr-Cyrl-CS"/>
              </w:rPr>
              <w:t>-1</w:t>
            </w:r>
            <w:r w:rsidR="00B646B3">
              <w:rPr>
                <w:b/>
                <w:bCs/>
                <w:color w:val="4F81BD"/>
                <w:lang w:val="sr-Latn-CS"/>
              </w:rPr>
              <w:t>/</w:t>
            </w:r>
            <w:r>
              <w:rPr>
                <w:b/>
                <w:bCs/>
                <w:color w:val="4F81BD"/>
                <w:lang/>
              </w:rPr>
              <w:t>43</w:t>
            </w:r>
          </w:p>
        </w:tc>
      </w:tr>
    </w:tbl>
    <w:p w:rsidR="00392BC7" w:rsidRPr="005E1066" w:rsidRDefault="00392BC7" w:rsidP="00392BC7">
      <w:pPr>
        <w:rPr>
          <w:rFonts w:ascii="Arial" w:hAnsi="Arial" w:cs="Arial"/>
          <w:b/>
          <w:bCs/>
          <w:iCs/>
          <w:lang/>
        </w:rPr>
      </w:pPr>
    </w:p>
    <w:sectPr w:rsidR="00392BC7" w:rsidRPr="005E1066" w:rsidSect="00F84E99">
      <w:headerReference w:type="even" r:id="rId7"/>
      <w:headerReference w:type="default" r:id="rId8"/>
      <w:footerReference w:type="even" r:id="rId9"/>
      <w:pgSz w:w="15840" w:h="12240" w:orient="landscape" w:code="1"/>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37" w:rsidRDefault="00264537">
      <w:r>
        <w:separator/>
      </w:r>
    </w:p>
  </w:endnote>
  <w:endnote w:type="continuationSeparator" w:id="0">
    <w:p w:rsidR="00264537" w:rsidRDefault="00264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AF" w:rsidRDefault="00091FAF" w:rsidP="00091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FAF" w:rsidRDefault="0009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37" w:rsidRDefault="00264537">
      <w:r>
        <w:separator/>
      </w:r>
    </w:p>
  </w:footnote>
  <w:footnote w:type="continuationSeparator" w:id="0">
    <w:p w:rsidR="00264537" w:rsidRDefault="00264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AF" w:rsidRDefault="00091FAF" w:rsidP="00091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AF34A3">
      <w:rPr>
        <w:rStyle w:val="PageNumber"/>
      </w:rPr>
      <w:fldChar w:fldCharType="separate"/>
    </w:r>
    <w:r w:rsidR="00AF34A3">
      <w:rPr>
        <w:rStyle w:val="PageNumber"/>
        <w:noProof/>
      </w:rPr>
      <w:t>3</w:t>
    </w:r>
    <w:r>
      <w:rPr>
        <w:rStyle w:val="PageNumber"/>
      </w:rPr>
      <w:fldChar w:fldCharType="end"/>
    </w:r>
  </w:p>
  <w:p w:rsidR="00091FAF" w:rsidRDefault="00091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AF" w:rsidRPr="003F7959" w:rsidRDefault="00091FAF" w:rsidP="00091FAF">
    <w:pPr>
      <w:pStyle w:val="Header"/>
      <w:framePr w:wrap="around" w:vAnchor="text" w:hAnchor="margin" w:xAlign="center" w:y="1"/>
      <w:rPr>
        <w:rStyle w:val="PageNumber"/>
        <w:lang w:val="sr-Cyrl-CS"/>
      </w:rPr>
    </w:pPr>
  </w:p>
  <w:p w:rsidR="00091FAF" w:rsidRPr="003F7959" w:rsidRDefault="00091FAF">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09CD"/>
    <w:multiLevelType w:val="hybridMultilevel"/>
    <w:tmpl w:val="B77E08AA"/>
    <w:lvl w:ilvl="0" w:tplc="1382E592">
      <w:start w:val="1"/>
      <w:numFmt w:val="decimal"/>
      <w:lvlText w:val="%1."/>
      <w:lvlJc w:val="left"/>
      <w:pPr>
        <w:tabs>
          <w:tab w:val="num" w:pos="786"/>
        </w:tabs>
        <w:ind w:left="786" w:hanging="360"/>
      </w:pPr>
      <w:rPr>
        <w:rFonts w:hint="default"/>
      </w:rPr>
    </w:lvl>
    <w:lvl w:ilvl="1" w:tplc="081A0019" w:tentative="1">
      <w:start w:val="1"/>
      <w:numFmt w:val="lowerLetter"/>
      <w:lvlText w:val="%2."/>
      <w:lvlJc w:val="left"/>
      <w:pPr>
        <w:tabs>
          <w:tab w:val="num" w:pos="1506"/>
        </w:tabs>
        <w:ind w:left="1506" w:hanging="360"/>
      </w:pPr>
    </w:lvl>
    <w:lvl w:ilvl="2" w:tplc="081A001B" w:tentative="1">
      <w:start w:val="1"/>
      <w:numFmt w:val="lowerRoman"/>
      <w:lvlText w:val="%3."/>
      <w:lvlJc w:val="right"/>
      <w:pPr>
        <w:tabs>
          <w:tab w:val="num" w:pos="2226"/>
        </w:tabs>
        <w:ind w:left="2226" w:hanging="180"/>
      </w:pPr>
    </w:lvl>
    <w:lvl w:ilvl="3" w:tplc="081A000F" w:tentative="1">
      <w:start w:val="1"/>
      <w:numFmt w:val="decimal"/>
      <w:lvlText w:val="%4."/>
      <w:lvlJc w:val="left"/>
      <w:pPr>
        <w:tabs>
          <w:tab w:val="num" w:pos="2946"/>
        </w:tabs>
        <w:ind w:left="2946" w:hanging="360"/>
      </w:pPr>
    </w:lvl>
    <w:lvl w:ilvl="4" w:tplc="081A0019" w:tentative="1">
      <w:start w:val="1"/>
      <w:numFmt w:val="lowerLetter"/>
      <w:lvlText w:val="%5."/>
      <w:lvlJc w:val="left"/>
      <w:pPr>
        <w:tabs>
          <w:tab w:val="num" w:pos="3666"/>
        </w:tabs>
        <w:ind w:left="3666" w:hanging="360"/>
      </w:pPr>
    </w:lvl>
    <w:lvl w:ilvl="5" w:tplc="081A001B" w:tentative="1">
      <w:start w:val="1"/>
      <w:numFmt w:val="lowerRoman"/>
      <w:lvlText w:val="%6."/>
      <w:lvlJc w:val="right"/>
      <w:pPr>
        <w:tabs>
          <w:tab w:val="num" w:pos="4386"/>
        </w:tabs>
        <w:ind w:left="4386" w:hanging="180"/>
      </w:pPr>
    </w:lvl>
    <w:lvl w:ilvl="6" w:tplc="081A000F" w:tentative="1">
      <w:start w:val="1"/>
      <w:numFmt w:val="decimal"/>
      <w:lvlText w:val="%7."/>
      <w:lvlJc w:val="left"/>
      <w:pPr>
        <w:tabs>
          <w:tab w:val="num" w:pos="5106"/>
        </w:tabs>
        <w:ind w:left="5106" w:hanging="360"/>
      </w:pPr>
    </w:lvl>
    <w:lvl w:ilvl="7" w:tplc="081A0019" w:tentative="1">
      <w:start w:val="1"/>
      <w:numFmt w:val="lowerLetter"/>
      <w:lvlText w:val="%8."/>
      <w:lvlJc w:val="left"/>
      <w:pPr>
        <w:tabs>
          <w:tab w:val="num" w:pos="5826"/>
        </w:tabs>
        <w:ind w:left="5826" w:hanging="360"/>
      </w:pPr>
    </w:lvl>
    <w:lvl w:ilvl="8" w:tplc="081A001B" w:tentative="1">
      <w:start w:val="1"/>
      <w:numFmt w:val="lowerRoman"/>
      <w:lvlText w:val="%9."/>
      <w:lvlJc w:val="right"/>
      <w:pPr>
        <w:tabs>
          <w:tab w:val="num" w:pos="6546"/>
        </w:tabs>
        <w:ind w:left="6546" w:hanging="180"/>
      </w:pPr>
    </w:lvl>
  </w:abstractNum>
  <w:abstractNum w:abstractNumId="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EEB607A"/>
    <w:multiLevelType w:val="hybridMultilevel"/>
    <w:tmpl w:val="AFE2F582"/>
    <w:lvl w:ilvl="0" w:tplc="A89E20C2">
      <w:start w:val="29"/>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71AD3C66"/>
    <w:multiLevelType w:val="hybridMultilevel"/>
    <w:tmpl w:val="AC8E5074"/>
    <w:lvl w:ilvl="0" w:tplc="04090001">
      <w:start w:val="1"/>
      <w:numFmt w:val="bullet"/>
      <w:lvlText w:val=""/>
      <w:lvlJc w:val="left"/>
      <w:pPr>
        <w:tabs>
          <w:tab w:val="num" w:pos="513"/>
        </w:tabs>
        <w:ind w:left="513" w:hanging="360"/>
      </w:pPr>
      <w:rPr>
        <w:rFonts w:ascii="Symbol" w:hAnsi="Symbo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1FAF"/>
    <w:rsid w:val="00002558"/>
    <w:rsid w:val="00007149"/>
    <w:rsid w:val="00012D1F"/>
    <w:rsid w:val="0002299C"/>
    <w:rsid w:val="00032104"/>
    <w:rsid w:val="00054682"/>
    <w:rsid w:val="000750DC"/>
    <w:rsid w:val="00082F6D"/>
    <w:rsid w:val="00091FAF"/>
    <w:rsid w:val="00094F58"/>
    <w:rsid w:val="000A34D7"/>
    <w:rsid w:val="000A5576"/>
    <w:rsid w:val="000E705D"/>
    <w:rsid w:val="000F39D8"/>
    <w:rsid w:val="00112AC3"/>
    <w:rsid w:val="001136C5"/>
    <w:rsid w:val="0011747C"/>
    <w:rsid w:val="00120AFE"/>
    <w:rsid w:val="001347DA"/>
    <w:rsid w:val="00146058"/>
    <w:rsid w:val="00164B06"/>
    <w:rsid w:val="00167092"/>
    <w:rsid w:val="001B4863"/>
    <w:rsid w:val="001D6791"/>
    <w:rsid w:val="001D700E"/>
    <w:rsid w:val="001F6742"/>
    <w:rsid w:val="002158CC"/>
    <w:rsid w:val="00216859"/>
    <w:rsid w:val="00226847"/>
    <w:rsid w:val="00252792"/>
    <w:rsid w:val="0026017D"/>
    <w:rsid w:val="00264537"/>
    <w:rsid w:val="002663AD"/>
    <w:rsid w:val="00282819"/>
    <w:rsid w:val="002A1B67"/>
    <w:rsid w:val="002B528F"/>
    <w:rsid w:val="002B5AAF"/>
    <w:rsid w:val="002E19CB"/>
    <w:rsid w:val="002F2372"/>
    <w:rsid w:val="00300257"/>
    <w:rsid w:val="00304BD5"/>
    <w:rsid w:val="003061F0"/>
    <w:rsid w:val="00335EE0"/>
    <w:rsid w:val="003436E2"/>
    <w:rsid w:val="00360EE1"/>
    <w:rsid w:val="003659CE"/>
    <w:rsid w:val="0037093C"/>
    <w:rsid w:val="00376DA8"/>
    <w:rsid w:val="00392BC7"/>
    <w:rsid w:val="003948AB"/>
    <w:rsid w:val="003D107C"/>
    <w:rsid w:val="003D1F02"/>
    <w:rsid w:val="003D5013"/>
    <w:rsid w:val="003E04EB"/>
    <w:rsid w:val="003E1AFA"/>
    <w:rsid w:val="003F6325"/>
    <w:rsid w:val="00415016"/>
    <w:rsid w:val="00454F91"/>
    <w:rsid w:val="004623A7"/>
    <w:rsid w:val="00466B03"/>
    <w:rsid w:val="00472BCE"/>
    <w:rsid w:val="00475BDB"/>
    <w:rsid w:val="00480B89"/>
    <w:rsid w:val="0048496C"/>
    <w:rsid w:val="00487E13"/>
    <w:rsid w:val="00493B62"/>
    <w:rsid w:val="004C1C21"/>
    <w:rsid w:val="004D0C99"/>
    <w:rsid w:val="004D5FEA"/>
    <w:rsid w:val="004E5A12"/>
    <w:rsid w:val="005068EA"/>
    <w:rsid w:val="00526D12"/>
    <w:rsid w:val="005418E0"/>
    <w:rsid w:val="0055100A"/>
    <w:rsid w:val="0058584A"/>
    <w:rsid w:val="00591A94"/>
    <w:rsid w:val="005C48FF"/>
    <w:rsid w:val="005D20E1"/>
    <w:rsid w:val="005D4A3C"/>
    <w:rsid w:val="005E4BBE"/>
    <w:rsid w:val="005E6E3F"/>
    <w:rsid w:val="00616AD0"/>
    <w:rsid w:val="00622F67"/>
    <w:rsid w:val="00633CA6"/>
    <w:rsid w:val="00635C67"/>
    <w:rsid w:val="00671ED2"/>
    <w:rsid w:val="00682A04"/>
    <w:rsid w:val="006B05B9"/>
    <w:rsid w:val="006B45BE"/>
    <w:rsid w:val="006D26D1"/>
    <w:rsid w:val="006E528B"/>
    <w:rsid w:val="006F2A7A"/>
    <w:rsid w:val="006F6C00"/>
    <w:rsid w:val="007107AE"/>
    <w:rsid w:val="00712121"/>
    <w:rsid w:val="007449FD"/>
    <w:rsid w:val="00744ADF"/>
    <w:rsid w:val="0075611D"/>
    <w:rsid w:val="007617E6"/>
    <w:rsid w:val="00765FD8"/>
    <w:rsid w:val="007B6949"/>
    <w:rsid w:val="007E7962"/>
    <w:rsid w:val="008004BA"/>
    <w:rsid w:val="0082733D"/>
    <w:rsid w:val="008358C7"/>
    <w:rsid w:val="00847CCB"/>
    <w:rsid w:val="00857E6C"/>
    <w:rsid w:val="00865CB1"/>
    <w:rsid w:val="0087106E"/>
    <w:rsid w:val="008B18A0"/>
    <w:rsid w:val="008B40AA"/>
    <w:rsid w:val="008C481B"/>
    <w:rsid w:val="008E7998"/>
    <w:rsid w:val="008F354A"/>
    <w:rsid w:val="0092306A"/>
    <w:rsid w:val="00957E84"/>
    <w:rsid w:val="009706D7"/>
    <w:rsid w:val="00982D77"/>
    <w:rsid w:val="009832C0"/>
    <w:rsid w:val="009A22D1"/>
    <w:rsid w:val="009A3B7D"/>
    <w:rsid w:val="009A6567"/>
    <w:rsid w:val="009D3CA1"/>
    <w:rsid w:val="009F6217"/>
    <w:rsid w:val="00A2468D"/>
    <w:rsid w:val="00A26D77"/>
    <w:rsid w:val="00A555BA"/>
    <w:rsid w:val="00A71CDE"/>
    <w:rsid w:val="00A8074B"/>
    <w:rsid w:val="00A86C72"/>
    <w:rsid w:val="00A91D63"/>
    <w:rsid w:val="00A95E72"/>
    <w:rsid w:val="00AA241F"/>
    <w:rsid w:val="00AB2183"/>
    <w:rsid w:val="00AC6870"/>
    <w:rsid w:val="00AF34A3"/>
    <w:rsid w:val="00B013E1"/>
    <w:rsid w:val="00B06417"/>
    <w:rsid w:val="00B17FDA"/>
    <w:rsid w:val="00B3594F"/>
    <w:rsid w:val="00B41E0F"/>
    <w:rsid w:val="00B41EF4"/>
    <w:rsid w:val="00B43317"/>
    <w:rsid w:val="00B63997"/>
    <w:rsid w:val="00B646B3"/>
    <w:rsid w:val="00B647A3"/>
    <w:rsid w:val="00B81C57"/>
    <w:rsid w:val="00B9228A"/>
    <w:rsid w:val="00B923D5"/>
    <w:rsid w:val="00B95DB0"/>
    <w:rsid w:val="00BD221A"/>
    <w:rsid w:val="00BD54D1"/>
    <w:rsid w:val="00BF1951"/>
    <w:rsid w:val="00C03156"/>
    <w:rsid w:val="00C166B4"/>
    <w:rsid w:val="00C32B4C"/>
    <w:rsid w:val="00C57C18"/>
    <w:rsid w:val="00C963F6"/>
    <w:rsid w:val="00CB012E"/>
    <w:rsid w:val="00CE4F2E"/>
    <w:rsid w:val="00CF11E1"/>
    <w:rsid w:val="00CF60F0"/>
    <w:rsid w:val="00D012C4"/>
    <w:rsid w:val="00D25E34"/>
    <w:rsid w:val="00D41947"/>
    <w:rsid w:val="00D53008"/>
    <w:rsid w:val="00D55D71"/>
    <w:rsid w:val="00D60478"/>
    <w:rsid w:val="00D65616"/>
    <w:rsid w:val="00DA03D2"/>
    <w:rsid w:val="00DA0A1E"/>
    <w:rsid w:val="00DC185D"/>
    <w:rsid w:val="00DC45D0"/>
    <w:rsid w:val="00DD117A"/>
    <w:rsid w:val="00DF5640"/>
    <w:rsid w:val="00E05D02"/>
    <w:rsid w:val="00E07FF3"/>
    <w:rsid w:val="00E21FC8"/>
    <w:rsid w:val="00E22A4B"/>
    <w:rsid w:val="00E22B55"/>
    <w:rsid w:val="00E34D1C"/>
    <w:rsid w:val="00E4538F"/>
    <w:rsid w:val="00E505CC"/>
    <w:rsid w:val="00E52B0D"/>
    <w:rsid w:val="00E52DEB"/>
    <w:rsid w:val="00E65DDB"/>
    <w:rsid w:val="00E702B1"/>
    <w:rsid w:val="00E757FF"/>
    <w:rsid w:val="00E85481"/>
    <w:rsid w:val="00E8575A"/>
    <w:rsid w:val="00E94963"/>
    <w:rsid w:val="00E95CF7"/>
    <w:rsid w:val="00EC64B8"/>
    <w:rsid w:val="00EC7C90"/>
    <w:rsid w:val="00ED1340"/>
    <w:rsid w:val="00EF6D75"/>
    <w:rsid w:val="00F10BFB"/>
    <w:rsid w:val="00F40410"/>
    <w:rsid w:val="00F42026"/>
    <w:rsid w:val="00F43A49"/>
    <w:rsid w:val="00F55D34"/>
    <w:rsid w:val="00F84E99"/>
    <w:rsid w:val="00FA3AB5"/>
    <w:rsid w:val="00FD1A18"/>
    <w:rsid w:val="00FE08D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F"/>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91FAF"/>
    <w:pPr>
      <w:tabs>
        <w:tab w:val="center" w:pos="4535"/>
        <w:tab w:val="right" w:pos="9071"/>
      </w:tabs>
    </w:pPr>
  </w:style>
  <w:style w:type="paragraph" w:styleId="Footer">
    <w:name w:val="footer"/>
    <w:basedOn w:val="Normal"/>
    <w:link w:val="FooterChar"/>
    <w:rsid w:val="00091FAF"/>
    <w:pPr>
      <w:tabs>
        <w:tab w:val="center" w:pos="4535"/>
        <w:tab w:val="right" w:pos="9071"/>
      </w:tabs>
    </w:pPr>
  </w:style>
  <w:style w:type="character" w:styleId="PageNumber">
    <w:name w:val="page number"/>
    <w:basedOn w:val="DefaultParagraphFont"/>
    <w:rsid w:val="00091FAF"/>
  </w:style>
  <w:style w:type="character" w:customStyle="1" w:styleId="HeaderChar">
    <w:name w:val="Header Char"/>
    <w:link w:val="Header"/>
    <w:rsid w:val="00091FAF"/>
    <w:rPr>
      <w:sz w:val="24"/>
      <w:szCs w:val="24"/>
      <w:lang w:val="en-GB" w:eastAsia="en-US" w:bidi="ar-SA"/>
    </w:rPr>
  </w:style>
  <w:style w:type="character" w:customStyle="1" w:styleId="FooterChar">
    <w:name w:val="Footer Char"/>
    <w:link w:val="Footer"/>
    <w:rsid w:val="00091FAF"/>
    <w:rPr>
      <w:sz w:val="24"/>
      <w:szCs w:val="24"/>
      <w:lang w:val="en-GB" w:eastAsia="en-US" w:bidi="ar-SA"/>
    </w:rPr>
  </w:style>
  <w:style w:type="paragraph" w:styleId="BodyText2">
    <w:name w:val="Body Text 2"/>
    <w:basedOn w:val="Normal"/>
    <w:rsid w:val="004D0C99"/>
    <w:pPr>
      <w:suppressAutoHyphens/>
      <w:spacing w:after="120" w:line="480" w:lineRule="auto"/>
    </w:pPr>
    <w:rPr>
      <w:rFonts w:eastAsia="Arial Unicode MS"/>
      <w:color w:val="000000"/>
      <w:kern w:val="1"/>
      <w:lang w:eastAsia="ar-SA"/>
    </w:rPr>
  </w:style>
  <w:style w:type="paragraph" w:styleId="BalloonText">
    <w:name w:val="Balloon Text"/>
    <w:basedOn w:val="Normal"/>
    <w:semiHidden/>
    <w:rsid w:val="00633CA6"/>
    <w:rPr>
      <w:rFonts w:ascii="Tahoma" w:hAnsi="Tahoma" w:cs="Tahoma"/>
      <w:sz w:val="16"/>
      <w:szCs w:val="16"/>
    </w:rPr>
  </w:style>
  <w:style w:type="table" w:styleId="TableGrid">
    <w:name w:val="Table Grid"/>
    <w:basedOn w:val="TableNormal"/>
    <w:rsid w:val="00AF3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34A3"/>
    <w:pPr>
      <w:suppressAutoHyphens/>
      <w:spacing w:line="100" w:lineRule="atLeast"/>
      <w:ind w:left="720"/>
    </w:pPr>
    <w:rPr>
      <w:rFonts w:eastAsia="Arial Unicode MS"/>
      <w:color w:val="000000"/>
      <w:kern w:val="1"/>
      <w:lang w:eastAsia="ar-SA"/>
    </w:rPr>
  </w:style>
  <w:style w:type="paragraph" w:customStyle="1" w:styleId="Default">
    <w:name w:val="Default"/>
    <w:rsid w:val="0011747C"/>
    <w:pPr>
      <w:autoSpaceDE w:val="0"/>
      <w:autoSpaceDN w:val="0"/>
      <w:adjustRightInd w:val="0"/>
    </w:pPr>
    <w:rPr>
      <w:color w:val="000000"/>
      <w:sz w:val="24"/>
      <w:szCs w:val="24"/>
      <w:lang w:val="en-US" w:eastAsia="en-US"/>
    </w:rPr>
  </w:style>
  <w:style w:type="paragraph" w:customStyle="1" w:styleId="ListParagraphCharChar">
    <w:name w:val="List Paragraph Char Char"/>
    <w:basedOn w:val="Normal"/>
    <w:link w:val="ListParagraphCharCharChar"/>
    <w:qFormat/>
    <w:rsid w:val="00CB012E"/>
    <w:pPr>
      <w:ind w:left="720"/>
      <w:contextualSpacing/>
    </w:pPr>
    <w:rPr>
      <w:lang w:val="en-US"/>
    </w:rPr>
  </w:style>
  <w:style w:type="character" w:customStyle="1" w:styleId="ListParagraphCharCharChar">
    <w:name w:val="List Paragraph Char Char Char"/>
    <w:link w:val="ListParagraphCharChar"/>
    <w:rsid w:val="00CB012E"/>
    <w:rPr>
      <w:sz w:val="24"/>
      <w:szCs w:val="24"/>
      <w:lang w:val="en-US" w:eastAsia="en-US" w:bidi="ar-SA"/>
    </w:rPr>
  </w:style>
  <w:style w:type="character" w:styleId="IntenseEmphasis">
    <w:name w:val="Intense Emphasis"/>
    <w:qFormat/>
    <w:rsid w:val="00CB012E"/>
    <w:rPr>
      <w:rFonts w:ascii="Arial" w:hAnsi="Arial"/>
      <w:b/>
      <w:bCs/>
      <w:iCs/>
      <w:color w:val="auto"/>
      <w:sz w:val="28"/>
      <w:u w:val="single"/>
    </w:rPr>
  </w:style>
  <w:style w:type="character" w:customStyle="1" w:styleId="WW8Num5z1">
    <w:name w:val="WW8Num5z1"/>
    <w:rsid w:val="00392BC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572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Наручилац:</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PREDSKOLSKA USTANOVA ČAČAK</dc:creator>
  <cp:lastModifiedBy>Windows korisnik</cp:lastModifiedBy>
  <cp:revision>2</cp:revision>
  <cp:lastPrinted>2018-01-08T08:40:00Z</cp:lastPrinted>
  <dcterms:created xsi:type="dcterms:W3CDTF">2018-01-09T10:56:00Z</dcterms:created>
  <dcterms:modified xsi:type="dcterms:W3CDTF">2018-01-09T10:56:00Z</dcterms:modified>
</cp:coreProperties>
</file>